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2">
      <w:pPr>
        <w:jc w:val="both"/>
        <w:rPr>
          <w:rFonts w:ascii="Verdana" w:cs="Verdana" w:eastAsia="Verdana" w:hAnsi="Verdana"/>
          <w:b w:val="1"/>
          <w:bCs w:val="1"/>
          <w:sz w:val="30"/>
          <w:szCs w:val="30"/>
        </w:rPr>
      </w:pPr>
      <w:r w:rsidDel="00000000" w:rsidR="00000000" w:rsidRPr="00000000">
        <w:rPr>
          <w:rFonts w:ascii="Verdana" w:cs="Verdana" w:eastAsia="Verdana" w:hAnsi="Verdana"/>
          <w:b w:val="1"/>
          <w:bCs w:val="1"/>
          <w:sz w:val="30"/>
          <w:szCs w:val="30"/>
          <w:rtl w:val="0"/>
        </w:rPr>
        <w:t xml:space="preserve">2026 Coinbase Derivatives FIA Testing</w:t>
      </w:r>
    </w:p>
    <w:p w:rsidR="00000000" w:rsidDel="00000000" w:rsidP="00000000" w:rsidRDefault="00000000" w:rsidRPr="00000000" w14:paraId="00000003">
      <w:pPr>
        <w:jc w:val="both"/>
        <w:rPr>
          <w:rFonts w:ascii="Verdana" w:cs="Verdana" w:eastAsia="Verdana" w:hAnsi="Verdana"/>
          <w:b w:val="1"/>
          <w:bCs w:val="1"/>
          <w:sz w:val="24"/>
          <w:szCs w:val="24"/>
          <w:u w:val="single"/>
        </w:rPr>
      </w:pPr>
      <w:r w:rsidDel="00000000" w:rsidR="00000000" w:rsidRPr="00000000">
        <w:rPr>
          <w:rtl w:val="0"/>
        </w:rPr>
      </w:r>
    </w:p>
    <w:p w:rsidR="00000000" w:rsidDel="00000000" w:rsidP="00000000" w:rsidRDefault="00000000" w:rsidRPr="00000000" w14:paraId="00000004">
      <w:pPr>
        <w:jc w:val="both"/>
        <w:rPr>
          <w:rFonts w:ascii="Verdana" w:cs="Verdana" w:eastAsia="Verdana" w:hAnsi="Verdana"/>
          <w:b w:val="1"/>
          <w:bCs w:val="1"/>
          <w:sz w:val="26"/>
          <w:szCs w:val="26"/>
          <w:u w:val="single"/>
        </w:rPr>
      </w:pPr>
      <w:r w:rsidDel="00000000" w:rsidR="00000000" w:rsidRPr="00000000">
        <w:rPr>
          <w:rFonts w:ascii="Verdana" w:cs="Verdana" w:eastAsia="Verdana" w:hAnsi="Verdana"/>
          <w:b w:val="1"/>
          <w:bCs w:val="1"/>
          <w:sz w:val="26"/>
          <w:szCs w:val="26"/>
          <w:u w:val="single"/>
          <w:rtl w:val="0"/>
        </w:rPr>
        <w:t xml:space="preserve">Overview</w:t>
      </w:r>
    </w:p>
    <w:p w:rsidR="00000000" w:rsidDel="00000000" w:rsidP="00000000" w:rsidRDefault="00000000" w:rsidRPr="00000000" w14:paraId="00000005">
      <w:pPr>
        <w:spacing w:before="160" w:line="264"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Futures Industry Association (FIA) Annual Disaster Recovery Test will take place on Saturday, October 24, 2026. Coinbase Derivatives, LLC (CDE) will be participating in this testing. The goal of this exercise is to test disaster recovery capabilities among futures commissions merchants, brokers, trading system providers, back-office service providers, and recovery services providers</w:t>
      </w:r>
    </w:p>
    <w:p w:rsidR="00000000" w:rsidDel="00000000" w:rsidP="00000000" w:rsidRDefault="00000000" w:rsidRPr="00000000" w14:paraId="00000006">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7">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Please register with FIA using the following link and select “Coinbase”</w:t>
      </w:r>
    </w:p>
    <w:p w:rsidR="00000000" w:rsidDel="00000000" w:rsidP="00000000" w:rsidRDefault="00000000" w:rsidRPr="00000000" w14:paraId="00000008">
      <w:pPr>
        <w:jc w:val="both"/>
        <w:rPr>
          <w:rFonts w:ascii="Verdana" w:cs="Verdana" w:eastAsia="Verdana" w:hAnsi="Verdana"/>
          <w:sz w:val="24"/>
          <w:szCs w:val="24"/>
        </w:rPr>
      </w:pPr>
      <w:hyperlink r:id="rId7">
        <w:r w:rsidDel="00000000" w:rsidR="00000000" w:rsidRPr="00000000">
          <w:rPr>
            <w:rFonts w:ascii="Verdana" w:cs="Verdana" w:eastAsia="Verdana" w:hAnsi="Verdana"/>
            <w:color w:val="1155cc"/>
            <w:sz w:val="24"/>
            <w:szCs w:val="24"/>
            <w:u w:val="single"/>
            <w:rtl w:val="0"/>
          </w:rPr>
          <w:t xml:space="preserve">https://www.fia.org/DR-exercise-registration</w:t>
        </w:r>
      </w:hyperlink>
      <w:r w:rsidDel="00000000" w:rsidR="00000000" w:rsidRPr="00000000">
        <w:rPr>
          <w:rtl w:val="0"/>
        </w:rPr>
      </w:r>
    </w:p>
    <w:p w:rsidR="00000000" w:rsidDel="00000000" w:rsidP="00000000" w:rsidRDefault="00000000" w:rsidRPr="00000000" w14:paraId="00000009">
      <w:pPr>
        <w:jc w:val="both"/>
        <w:rPr>
          <w:rFonts w:ascii="Verdana" w:cs="Verdana" w:eastAsia="Verdana" w:hAnsi="Verdana"/>
          <w:b w:val="1"/>
          <w:bCs w:val="1"/>
          <w:sz w:val="24"/>
          <w:szCs w:val="24"/>
          <w:u w:val="single"/>
        </w:rPr>
      </w:pPr>
      <w:r w:rsidDel="00000000" w:rsidR="00000000" w:rsidRPr="00000000">
        <w:rPr>
          <w:rtl w:val="0"/>
        </w:rPr>
      </w:r>
    </w:p>
    <w:p w:rsidR="00000000" w:rsidDel="00000000" w:rsidP="00000000" w:rsidRDefault="00000000" w:rsidRPr="00000000" w14:paraId="0000000A">
      <w:pPr>
        <w:jc w:val="both"/>
        <w:rPr>
          <w:rFonts w:ascii="Verdana" w:cs="Verdana" w:eastAsia="Verdana" w:hAnsi="Verdana"/>
          <w:b w:val="1"/>
          <w:bCs w:val="1"/>
          <w:sz w:val="26"/>
          <w:szCs w:val="26"/>
          <w:u w:val="single"/>
        </w:rPr>
      </w:pPr>
      <w:r w:rsidDel="00000000" w:rsidR="00000000" w:rsidRPr="00000000">
        <w:rPr>
          <w:rFonts w:ascii="Verdana" w:cs="Verdana" w:eastAsia="Verdana" w:hAnsi="Verdana"/>
          <w:b w:val="1"/>
          <w:bCs w:val="1"/>
          <w:sz w:val="26"/>
          <w:szCs w:val="26"/>
          <w:u w:val="single"/>
          <w:rtl w:val="0"/>
        </w:rPr>
        <w:t xml:space="preserve">Testing (Oct 24, 2026)</w:t>
      </w:r>
    </w:p>
    <w:p w:rsidR="00000000" w:rsidDel="00000000" w:rsidP="00000000" w:rsidRDefault="00000000" w:rsidRPr="00000000" w14:paraId="0000000B">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For the test date, CDE will be providing connectivity access to its DR data center. This test will cover logon, heartbeats, test requests and logouts for the services listed below. Note that order entry, market data subscriptions, trade matching and drop copy application-level messages will be out of scope for this testing.</w:t>
      </w:r>
    </w:p>
    <w:p w:rsidR="00000000" w:rsidDel="00000000" w:rsidP="00000000" w:rsidRDefault="00000000" w:rsidRPr="00000000" w14:paraId="0000000C">
      <w:pPr>
        <w:jc w:val="both"/>
        <w:rPr>
          <w:rFonts w:ascii="Verdana" w:cs="Verdana" w:eastAsia="Verdana" w:hAnsi="Verdana"/>
          <w:sz w:val="24"/>
          <w:szCs w:val="24"/>
          <w:u w:val="single"/>
        </w:rPr>
      </w:pPr>
      <w:r w:rsidDel="00000000" w:rsidR="00000000" w:rsidRPr="00000000">
        <w:rPr>
          <w:rtl w:val="0"/>
        </w:rPr>
      </w:r>
    </w:p>
    <w:p w:rsidR="00000000" w:rsidDel="00000000" w:rsidP="00000000" w:rsidRDefault="00000000" w:rsidRPr="00000000" w14:paraId="0000000D">
      <w:pPr>
        <w:jc w:val="both"/>
        <w:rPr>
          <w:rFonts w:ascii="Verdana" w:cs="Verdana" w:eastAsia="Verdana" w:hAnsi="Verdana"/>
          <w:b w:val="1"/>
          <w:bCs w:val="1"/>
          <w:sz w:val="26"/>
          <w:szCs w:val="26"/>
          <w:u w:val="single"/>
        </w:rPr>
      </w:pPr>
      <w:r w:rsidDel="00000000" w:rsidR="00000000" w:rsidRPr="00000000">
        <w:rPr>
          <w:rFonts w:ascii="Verdana" w:cs="Verdana" w:eastAsia="Verdana" w:hAnsi="Verdana"/>
          <w:b w:val="1"/>
          <w:bCs w:val="1"/>
          <w:sz w:val="26"/>
          <w:szCs w:val="26"/>
          <w:u w:val="single"/>
          <w:rtl w:val="0"/>
        </w:rPr>
        <w:t xml:space="preserve">Available Services (for connectivity testing)</w:t>
      </w:r>
    </w:p>
    <w:p w:rsidR="00000000" w:rsidDel="00000000" w:rsidP="00000000" w:rsidRDefault="00000000" w:rsidRPr="00000000" w14:paraId="0000000E">
      <w:pPr>
        <w:numPr>
          <w:ilvl w:val="0"/>
          <w:numId w:val="1"/>
        </w:numPr>
        <w:ind w:left="720" w:hanging="360"/>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FIX Order &amp; Market Data Sessions</w:t>
      </w:r>
    </w:p>
    <w:p w:rsidR="00000000" w:rsidDel="00000000" w:rsidP="00000000" w:rsidRDefault="00000000" w:rsidRPr="00000000" w14:paraId="0000000F">
      <w:pPr>
        <w:numPr>
          <w:ilvl w:val="0"/>
          <w:numId w:val="1"/>
        </w:numPr>
        <w:ind w:left="720" w:hanging="360"/>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Binary Order &amp; Market Data</w:t>
      </w:r>
    </w:p>
    <w:p w:rsidR="00000000" w:rsidDel="00000000" w:rsidP="00000000" w:rsidRDefault="00000000" w:rsidRPr="00000000" w14:paraId="00000010">
      <w:pPr>
        <w:numPr>
          <w:ilvl w:val="0"/>
          <w:numId w:val="1"/>
        </w:numPr>
        <w:ind w:left="720" w:hanging="360"/>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FIX Drop Copy sessions</w:t>
      </w:r>
    </w:p>
    <w:p w:rsidR="00000000" w:rsidDel="00000000" w:rsidP="00000000" w:rsidRDefault="00000000" w:rsidRPr="00000000" w14:paraId="00000011">
      <w:pPr>
        <w:numPr>
          <w:ilvl w:val="0"/>
          <w:numId w:val="1"/>
        </w:numPr>
        <w:ind w:left="720" w:hanging="360"/>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DR Exchange Admin Portal</w:t>
      </w:r>
    </w:p>
    <w:p w:rsidR="00000000" w:rsidDel="00000000" w:rsidP="00000000" w:rsidRDefault="00000000" w:rsidRPr="00000000" w14:paraId="00000012">
      <w:pPr>
        <w:jc w:val="both"/>
        <w:rPr>
          <w:rFonts w:ascii="Verdana" w:cs="Verdana" w:eastAsia="Verdana" w:hAnsi="Verdana"/>
          <w:b w:val="1"/>
          <w:bCs w:val="1"/>
          <w:sz w:val="26"/>
          <w:szCs w:val="26"/>
          <w:u w:val="single"/>
        </w:rPr>
      </w:pPr>
      <w:r w:rsidDel="00000000" w:rsidR="00000000" w:rsidRPr="00000000">
        <w:rPr>
          <w:rFonts w:ascii="Verdana" w:cs="Verdana" w:eastAsia="Verdana" w:hAnsi="Verdana"/>
          <w:b w:val="1"/>
          <w:bCs w:val="1"/>
          <w:sz w:val="26"/>
          <w:szCs w:val="26"/>
          <w:u w:val="single"/>
          <w:rtl w:val="0"/>
        </w:rPr>
        <w:t xml:space="preserve">Credentials &amp; Connectivity Details</w:t>
      </w:r>
    </w:p>
    <w:p w:rsidR="00000000" w:rsidDel="00000000" w:rsidP="00000000" w:rsidRDefault="00000000" w:rsidRPr="00000000" w14:paraId="00000013">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Participants can use their production credentials to connect to these services. Please contact CDE to get details of DR connectivity IPs/ports/links etc, </w:t>
      </w:r>
      <w:r w:rsidDel="00000000" w:rsidR="00000000" w:rsidRPr="00000000">
        <w:rPr>
          <w:rFonts w:ascii="Verdana" w:cs="Verdana" w:eastAsia="Verdana" w:hAnsi="Verdana"/>
          <w:b w:val="1"/>
          <w:bCs w:val="1"/>
          <w:sz w:val="24"/>
          <w:szCs w:val="24"/>
          <w:rtl w:val="0"/>
        </w:rPr>
        <w:t xml:space="preserve">at least 10 days</w:t>
      </w:r>
      <w:r w:rsidDel="00000000" w:rsidR="00000000" w:rsidRPr="00000000">
        <w:rPr>
          <w:rFonts w:ascii="Verdana" w:cs="Verdana" w:eastAsia="Verdana" w:hAnsi="Verdana"/>
          <w:sz w:val="24"/>
          <w:szCs w:val="24"/>
          <w:rtl w:val="0"/>
        </w:rPr>
        <w:t xml:space="preserve"> prior to the test date.</w:t>
      </w:r>
    </w:p>
    <w:p w:rsidR="00000000" w:rsidDel="00000000" w:rsidP="00000000" w:rsidRDefault="00000000" w:rsidRPr="00000000" w14:paraId="00000014">
      <w:pPr>
        <w:jc w:val="both"/>
        <w:rPr>
          <w:rFonts w:ascii="Verdana" w:cs="Verdana" w:eastAsia="Verdana" w:hAnsi="Verdana"/>
          <w:b w:val="1"/>
          <w:bCs w:val="1"/>
          <w:sz w:val="24"/>
          <w:szCs w:val="24"/>
        </w:rPr>
      </w:pPr>
      <w:r w:rsidDel="00000000" w:rsidR="00000000" w:rsidRPr="00000000">
        <w:rPr>
          <w:rtl w:val="0"/>
        </w:rPr>
      </w:r>
    </w:p>
    <w:p w:rsidR="00000000" w:rsidDel="00000000" w:rsidP="00000000" w:rsidRDefault="00000000" w:rsidRPr="00000000" w14:paraId="00000015">
      <w:pPr>
        <w:jc w:val="both"/>
        <w:rPr>
          <w:rFonts w:ascii="Verdana" w:cs="Verdana" w:eastAsia="Verdana" w:hAnsi="Verdana"/>
          <w:b w:val="1"/>
          <w:bCs w:val="1"/>
          <w:sz w:val="26"/>
          <w:szCs w:val="26"/>
          <w:u w:val="single"/>
        </w:rPr>
      </w:pPr>
      <w:r w:rsidDel="00000000" w:rsidR="00000000" w:rsidRPr="00000000">
        <w:rPr>
          <w:rFonts w:ascii="Verdana" w:cs="Verdana" w:eastAsia="Verdana" w:hAnsi="Verdana"/>
          <w:b w:val="1"/>
          <w:bCs w:val="1"/>
          <w:sz w:val="26"/>
          <w:szCs w:val="26"/>
          <w:u w:val="single"/>
          <w:rtl w:val="0"/>
        </w:rPr>
        <w:t xml:space="preserve">Test Schedule (Oct 24, 2026)</w:t>
      </w:r>
    </w:p>
    <w:p w:rsidR="00000000" w:rsidDel="00000000" w:rsidP="00000000" w:rsidRDefault="00000000" w:rsidRPr="00000000" w14:paraId="00000016">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9:00 AM CT (10:00 AM ET): Connectivity is available for DR </w:t>
      </w:r>
    </w:p>
    <w:p w:rsidR="00000000" w:rsidDel="00000000" w:rsidP="00000000" w:rsidRDefault="00000000" w:rsidRPr="00000000" w14:paraId="00000017">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12:00 PM CT (1:00 PM ET): DR Exercise will conclude </w:t>
      </w:r>
    </w:p>
    <w:p w:rsidR="00000000" w:rsidDel="00000000" w:rsidP="00000000" w:rsidRDefault="00000000" w:rsidRPr="00000000" w14:paraId="00000018">
      <w:pPr>
        <w:jc w:val="both"/>
        <w:rPr>
          <w:rFonts w:ascii="Verdana" w:cs="Verdana" w:eastAsia="Verdana" w:hAnsi="Verdana"/>
          <w:b w:val="1"/>
          <w:bCs w:val="1"/>
          <w:sz w:val="24"/>
          <w:szCs w:val="24"/>
        </w:rPr>
      </w:pPr>
      <w:r w:rsidDel="00000000" w:rsidR="00000000" w:rsidRPr="00000000">
        <w:rPr>
          <w:rtl w:val="0"/>
        </w:rPr>
      </w:r>
    </w:p>
    <w:p w:rsidR="00000000" w:rsidDel="00000000" w:rsidP="00000000" w:rsidRDefault="00000000" w:rsidRPr="00000000" w14:paraId="00000019">
      <w:pPr>
        <w:jc w:val="both"/>
        <w:rPr>
          <w:rFonts w:ascii="Verdana" w:cs="Verdana" w:eastAsia="Verdana" w:hAnsi="Verdana"/>
          <w:b w:val="1"/>
          <w:bCs w:val="1"/>
          <w:sz w:val="26"/>
          <w:szCs w:val="26"/>
          <w:u w:val="single"/>
        </w:rPr>
      </w:pPr>
      <w:r w:rsidDel="00000000" w:rsidR="00000000" w:rsidRPr="00000000">
        <w:rPr>
          <w:rtl w:val="0"/>
        </w:rPr>
      </w:r>
    </w:p>
    <w:p w:rsidR="00000000" w:rsidDel="00000000" w:rsidP="00000000" w:rsidRDefault="00000000" w:rsidRPr="00000000" w14:paraId="0000001A">
      <w:pPr>
        <w:jc w:val="both"/>
        <w:rPr>
          <w:rFonts w:ascii="Verdana" w:cs="Verdana" w:eastAsia="Verdana" w:hAnsi="Verdana"/>
          <w:b w:val="1"/>
          <w:bCs w:val="1"/>
          <w:sz w:val="26"/>
          <w:szCs w:val="26"/>
          <w:u w:val="single"/>
        </w:rPr>
      </w:pPr>
      <w:r w:rsidDel="00000000" w:rsidR="00000000" w:rsidRPr="00000000">
        <w:rPr>
          <w:rtl w:val="0"/>
        </w:rPr>
      </w:r>
    </w:p>
    <w:p w:rsidR="00000000" w:rsidDel="00000000" w:rsidP="00000000" w:rsidRDefault="00000000" w:rsidRPr="00000000" w14:paraId="0000001B">
      <w:pPr>
        <w:jc w:val="both"/>
        <w:rPr>
          <w:rFonts w:ascii="Verdana" w:cs="Verdana" w:eastAsia="Verdana" w:hAnsi="Verdana"/>
          <w:b w:val="1"/>
          <w:bCs w:val="1"/>
          <w:sz w:val="26"/>
          <w:szCs w:val="26"/>
          <w:u w:val="single"/>
        </w:rPr>
      </w:pPr>
      <w:r w:rsidDel="00000000" w:rsidR="00000000" w:rsidRPr="00000000">
        <w:rPr>
          <w:rtl w:val="0"/>
        </w:rPr>
      </w:r>
    </w:p>
    <w:p w:rsidR="00000000" w:rsidDel="00000000" w:rsidP="00000000" w:rsidRDefault="00000000" w:rsidRPr="00000000" w14:paraId="0000001C">
      <w:pPr>
        <w:jc w:val="both"/>
        <w:rPr>
          <w:rFonts w:ascii="Verdana" w:cs="Verdana" w:eastAsia="Verdana" w:hAnsi="Verdana"/>
          <w:b w:val="1"/>
          <w:bCs w:val="1"/>
          <w:sz w:val="24"/>
          <w:szCs w:val="24"/>
        </w:rPr>
      </w:pPr>
      <w:r w:rsidDel="00000000" w:rsidR="00000000" w:rsidRPr="00000000">
        <w:rPr>
          <w:rFonts w:ascii="Verdana" w:cs="Verdana" w:eastAsia="Verdana" w:hAnsi="Verdana"/>
          <w:b w:val="1"/>
          <w:bCs w:val="1"/>
          <w:sz w:val="26"/>
          <w:szCs w:val="26"/>
          <w:u w:val="single"/>
          <w:rtl w:val="0"/>
        </w:rPr>
        <w:t xml:space="preserve">Contact Details</w:t>
      </w:r>
      <w:r w:rsidDel="00000000" w:rsidR="00000000" w:rsidRPr="00000000">
        <w:rPr>
          <w:rtl w:val="0"/>
        </w:rPr>
      </w:r>
    </w:p>
    <w:p w:rsidR="00000000" w:rsidDel="00000000" w:rsidP="00000000" w:rsidRDefault="00000000" w:rsidRPr="00000000" w14:paraId="0000001D">
      <w:pPr>
        <w:jc w:val="both"/>
        <w:rPr>
          <w:rFonts w:ascii="Verdana" w:cs="Verdana" w:eastAsia="Verdana" w:hAnsi="Verdana"/>
          <w:i w:val="1"/>
          <w:iCs w:val="1"/>
          <w:sz w:val="24"/>
          <w:szCs w:val="24"/>
        </w:rPr>
      </w:pPr>
      <w:r w:rsidDel="00000000" w:rsidR="00000000" w:rsidRPr="00000000">
        <w:rPr>
          <w:rFonts w:ascii="Verdana" w:cs="Verdana" w:eastAsia="Verdana" w:hAnsi="Verdana"/>
          <w:i w:val="1"/>
          <w:iCs w:val="1"/>
          <w:sz w:val="24"/>
          <w:szCs w:val="24"/>
          <w:rtl w:val="0"/>
        </w:rPr>
        <w:t xml:space="preserve">Derivatives Command Center</w:t>
      </w:r>
    </w:p>
    <w:p w:rsidR="00000000" w:rsidDel="00000000" w:rsidP="00000000" w:rsidRDefault="00000000" w:rsidRPr="00000000" w14:paraId="0000001E">
      <w:pPr>
        <w:jc w:val="both"/>
        <w:rPr>
          <w:rFonts w:ascii="Verdana" w:cs="Verdana" w:eastAsia="Verdana" w:hAnsi="Verdana"/>
          <w:sz w:val="24"/>
          <w:szCs w:val="24"/>
        </w:rPr>
      </w:pPr>
      <w:hyperlink r:id="rId8">
        <w:r w:rsidDel="00000000" w:rsidR="00000000" w:rsidRPr="00000000">
          <w:rPr>
            <w:rFonts w:ascii="Verdana" w:cs="Verdana" w:eastAsia="Verdana" w:hAnsi="Verdana"/>
            <w:color w:val="1155cc"/>
            <w:sz w:val="24"/>
            <w:szCs w:val="24"/>
            <w:u w:val="single"/>
            <w:rtl w:val="0"/>
          </w:rPr>
          <w:t xml:space="preserve">derivatives@coinbase.com</w:t>
        </w:r>
      </w:hyperlink>
      <w:r w:rsidDel="00000000" w:rsidR="00000000" w:rsidRPr="00000000">
        <w:rPr>
          <w:rtl w:val="0"/>
        </w:rPr>
      </w:r>
    </w:p>
    <w:p w:rsidR="00000000" w:rsidDel="00000000" w:rsidP="00000000" w:rsidRDefault="00000000" w:rsidRPr="00000000" w14:paraId="0000001F">
      <w:pPr>
        <w:jc w:val="both"/>
        <w:rPr>
          <w:rFonts w:ascii="Verdana" w:cs="Verdana" w:eastAsia="Verdana" w:hAnsi="Verdana"/>
          <w:sz w:val="24"/>
          <w:szCs w:val="24"/>
        </w:rPr>
      </w:pPr>
      <w:r w:rsidDel="00000000" w:rsidR="00000000" w:rsidRPr="00000000">
        <w:rPr>
          <w:rFonts w:ascii="Verdana" w:cs="Verdana" w:eastAsia="Verdana" w:hAnsi="Verdana"/>
          <w:sz w:val="24"/>
          <w:szCs w:val="24"/>
          <w:highlight w:val="white"/>
          <w:rtl w:val="0"/>
        </w:rPr>
        <w:t xml:space="preserve">+1 (312) 469-0985</w:t>
      </w:r>
      <w:r w:rsidDel="00000000" w:rsidR="00000000" w:rsidRPr="00000000">
        <w:rPr>
          <w:rtl w:val="0"/>
        </w:rPr>
      </w:r>
    </w:p>
    <w:p w:rsidR="00000000" w:rsidDel="00000000" w:rsidP="00000000" w:rsidRDefault="00000000" w:rsidRPr="00000000" w14:paraId="00000020">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21">
      <w:pPr>
        <w:jc w:val="both"/>
        <w:rPr>
          <w:rFonts w:ascii="Verdana" w:cs="Verdana" w:eastAsia="Verdana" w:hAnsi="Verdana"/>
          <w:b w:val="1"/>
          <w:bCs w:val="1"/>
          <w:sz w:val="24"/>
          <w:szCs w:val="24"/>
        </w:rPr>
      </w:pPr>
      <w:r w:rsidDel="00000000" w:rsidR="00000000" w:rsidRPr="00000000">
        <w:rPr>
          <w:rtl w:val="0"/>
        </w:rPr>
      </w:r>
    </w:p>
    <w:p w:rsidR="00000000" w:rsidDel="00000000" w:rsidP="00000000" w:rsidRDefault="00000000" w:rsidRPr="00000000" w14:paraId="00000022">
      <w:pPr>
        <w:jc w:val="both"/>
        <w:rPr>
          <w:rFonts w:ascii="Verdana" w:cs="Verdana" w:eastAsia="Verdana" w:hAnsi="Verdana"/>
          <w:b w:val="1"/>
          <w:bCs w:val="1"/>
          <w:sz w:val="24"/>
          <w:szCs w:val="24"/>
        </w:rPr>
      </w:pPr>
      <w:r w:rsidDel="00000000" w:rsidR="00000000" w:rsidRPr="00000000">
        <w:rPr>
          <w:rtl w:val="0"/>
        </w:rPr>
      </w:r>
    </w:p>
    <w:sectPr>
      <w:headerReference r:id="rId9" w:type="default"/>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rPr>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tabs>
        <w:tab w:val="center" w:leader="none" w:pos="4680"/>
        <w:tab w:val="right" w:leader="none" w:pos="10080"/>
      </w:tabs>
      <w:spacing w:line="240" w:lineRule="auto"/>
      <w:rPr>
        <w:sz w:val="58"/>
        <w:szCs w:val="58"/>
      </w:rPr>
    </w:pPr>
    <w:r w:rsidDel="00000000" w:rsidR="00000000" w:rsidRPr="00000000">
      <w:rPr>
        <w:rFonts w:ascii="Calibri" w:cs="Calibri" w:eastAsia="Calibri" w:hAnsi="Calibri"/>
      </w:rPr>
      <w:drawing>
        <wp:inline distB="114300" distT="114300" distL="114300" distR="114300">
          <wp:extent cx="3641141" cy="301752"/>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641141" cy="30175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fia.org/DR-exercise-registration" TargetMode="External"/><Relationship Id="rId8" Type="http://schemas.openxmlformats.org/officeDocument/2006/relationships/hyperlink" Target="mailto:derivatives@coinbas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sV3Agw88uTRQ+yh0UDFJu40Nrw==">CgMxLjA4AHIhMW5IcUV2VzdSUGpQYkVTM0QwejVXakllVnBNRkp6cWpQ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