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3328" w14:textId="372E5D7F" w:rsidR="000D2C15" w:rsidRDefault="000D2C15" w:rsidP="00B51856">
      <w:pPr>
        <w:jc w:val="center"/>
        <w:rPr>
          <w:rFonts w:ascii="Arial" w:hAnsi="Arial" w:cs="Arial"/>
          <w:b/>
          <w:bCs/>
          <w:sz w:val="22"/>
          <w:szCs w:val="22"/>
          <w:u w:val="single"/>
        </w:rPr>
      </w:pPr>
    </w:p>
    <w:p w14:paraId="41E2E653" w14:textId="3F2C591B" w:rsidR="001B22D0" w:rsidRDefault="00B51856" w:rsidP="00B51856">
      <w:pPr>
        <w:jc w:val="center"/>
        <w:rPr>
          <w:rFonts w:ascii="Arial" w:hAnsi="Arial" w:cs="Arial"/>
          <w:b/>
          <w:bCs/>
          <w:sz w:val="22"/>
          <w:szCs w:val="22"/>
          <w:u w:val="single"/>
        </w:rPr>
      </w:pPr>
      <w:r w:rsidRPr="00D67CE4">
        <w:rPr>
          <w:rFonts w:ascii="Arial" w:hAnsi="Arial" w:cs="Arial"/>
          <w:b/>
          <w:bCs/>
          <w:sz w:val="22"/>
          <w:szCs w:val="22"/>
          <w:u w:val="single"/>
        </w:rPr>
        <w:t>FIA</w:t>
      </w:r>
      <w:r w:rsidR="00D22D04" w:rsidRPr="00D67CE4">
        <w:rPr>
          <w:rFonts w:ascii="Arial" w:hAnsi="Arial" w:cs="Arial"/>
          <w:b/>
          <w:bCs/>
          <w:sz w:val="22"/>
          <w:szCs w:val="22"/>
          <w:u w:val="single"/>
        </w:rPr>
        <w:t xml:space="preserve"> response to ESMA Consultation Paper on</w:t>
      </w:r>
      <w:r w:rsidR="00615FD3">
        <w:rPr>
          <w:rFonts w:ascii="Arial" w:hAnsi="Arial" w:cs="Arial"/>
          <w:b/>
          <w:bCs/>
          <w:sz w:val="22"/>
          <w:szCs w:val="22"/>
          <w:u w:val="single"/>
        </w:rPr>
        <w:t xml:space="preserve"> </w:t>
      </w:r>
      <w:r w:rsidR="00D22D04" w:rsidRPr="00D67CE4">
        <w:rPr>
          <w:rFonts w:ascii="Arial" w:hAnsi="Arial" w:cs="Arial"/>
          <w:b/>
          <w:bCs/>
          <w:sz w:val="22"/>
          <w:szCs w:val="22"/>
          <w:u w:val="single"/>
        </w:rPr>
        <w:t xml:space="preserve">the </w:t>
      </w:r>
      <w:r w:rsidR="00E92500">
        <w:rPr>
          <w:rFonts w:ascii="Arial" w:hAnsi="Arial" w:cs="Arial"/>
          <w:b/>
          <w:bCs/>
          <w:sz w:val="22"/>
          <w:szCs w:val="22"/>
          <w:u w:val="single"/>
        </w:rPr>
        <w:t>draft technical standards</w:t>
      </w:r>
      <w:r w:rsidR="002C7EFC">
        <w:rPr>
          <w:rFonts w:ascii="Arial" w:hAnsi="Arial" w:cs="Arial"/>
          <w:b/>
          <w:bCs/>
          <w:sz w:val="22"/>
          <w:szCs w:val="22"/>
          <w:u w:val="single"/>
        </w:rPr>
        <w:t xml:space="preserve"> amending Regulation (EU) 149/2013</w:t>
      </w:r>
      <w:r w:rsidR="00E92500">
        <w:rPr>
          <w:rFonts w:ascii="Arial" w:hAnsi="Arial" w:cs="Arial"/>
          <w:b/>
          <w:bCs/>
          <w:sz w:val="22"/>
          <w:szCs w:val="22"/>
          <w:u w:val="single"/>
        </w:rPr>
        <w:t xml:space="preserve"> to further detail the new EMIR clearing thresholds regime</w:t>
      </w:r>
    </w:p>
    <w:p w14:paraId="1BC325B7" w14:textId="072BAE9B" w:rsidR="00E866A7" w:rsidRPr="00300A57" w:rsidRDefault="00BA137F" w:rsidP="00300A57">
      <w:pPr>
        <w:jc w:val="both"/>
        <w:rPr>
          <w:rFonts w:ascii="Arial" w:hAnsi="Arial" w:cs="Arial"/>
          <w:b/>
          <w:bCs/>
          <w:sz w:val="22"/>
          <w:szCs w:val="22"/>
        </w:rPr>
      </w:pPr>
      <w:r w:rsidRPr="00D67CE4">
        <w:rPr>
          <w:rFonts w:ascii="Arial" w:hAnsi="Arial" w:cs="Arial"/>
          <w:b/>
          <w:bCs/>
          <w:sz w:val="22"/>
          <w:szCs w:val="22"/>
        </w:rPr>
        <w:t xml:space="preserve">Question 1:  </w:t>
      </w:r>
      <w:r w:rsidR="00E92500" w:rsidRPr="00E92500">
        <w:rPr>
          <w:rFonts w:ascii="Arial" w:hAnsi="Arial" w:cs="Arial"/>
          <w:b/>
          <w:bCs/>
          <w:sz w:val="22"/>
          <w:szCs w:val="22"/>
        </w:rPr>
        <w:t>Do you agree that the aggregate thresholds should only be set for those asset</w:t>
      </w:r>
      <w:r w:rsidR="00E92500">
        <w:rPr>
          <w:rFonts w:ascii="Arial" w:hAnsi="Arial" w:cs="Arial"/>
          <w:b/>
          <w:bCs/>
          <w:sz w:val="22"/>
          <w:szCs w:val="22"/>
        </w:rPr>
        <w:t xml:space="preserve"> </w:t>
      </w:r>
      <w:r w:rsidR="00E92500" w:rsidRPr="00E92500">
        <w:rPr>
          <w:rFonts w:ascii="Arial" w:hAnsi="Arial" w:cs="Arial"/>
          <w:b/>
          <w:bCs/>
          <w:sz w:val="22"/>
          <w:szCs w:val="22"/>
        </w:rPr>
        <w:t>classes subject to the CO i.e. IRDs and credit derivatives? If not, please elaborate.</w:t>
      </w:r>
    </w:p>
    <w:p w14:paraId="543CCD0E" w14:textId="0D658AC5" w:rsidR="00E5486D" w:rsidRDefault="00F957E8" w:rsidP="00E07BCA">
      <w:pPr>
        <w:spacing w:after="0"/>
        <w:jc w:val="both"/>
        <w:rPr>
          <w:rFonts w:ascii="Arial" w:hAnsi="Arial" w:cs="Arial"/>
          <w:sz w:val="22"/>
          <w:szCs w:val="22"/>
        </w:rPr>
      </w:pPr>
      <w:r>
        <w:rPr>
          <w:rFonts w:ascii="Arial" w:hAnsi="Arial" w:cs="Arial"/>
          <w:sz w:val="22"/>
          <w:szCs w:val="22"/>
        </w:rPr>
        <w:t>W</w:t>
      </w:r>
      <w:r w:rsidR="00B844C6">
        <w:rPr>
          <w:rFonts w:ascii="Arial" w:hAnsi="Arial" w:cs="Arial"/>
          <w:sz w:val="22"/>
          <w:szCs w:val="22"/>
        </w:rPr>
        <w:t>e note that</w:t>
      </w:r>
      <w:r w:rsidR="00543BC6">
        <w:rPr>
          <w:rFonts w:ascii="Arial" w:hAnsi="Arial" w:cs="Arial"/>
          <w:sz w:val="22"/>
          <w:szCs w:val="22"/>
        </w:rPr>
        <w:t xml:space="preserve"> a</w:t>
      </w:r>
      <w:r w:rsidR="00B7180C">
        <w:rPr>
          <w:rFonts w:ascii="Arial" w:hAnsi="Arial" w:cs="Arial"/>
          <w:sz w:val="22"/>
          <w:szCs w:val="22"/>
        </w:rPr>
        <w:t>s</w:t>
      </w:r>
      <w:r w:rsidR="004F19A2">
        <w:rPr>
          <w:rFonts w:ascii="Arial" w:hAnsi="Arial" w:cs="Arial"/>
          <w:sz w:val="22"/>
          <w:szCs w:val="22"/>
        </w:rPr>
        <w:t xml:space="preserve"> Questions 1 and 2</w:t>
      </w:r>
      <w:r w:rsidR="00B7180C">
        <w:rPr>
          <w:rFonts w:ascii="Arial" w:hAnsi="Arial" w:cs="Arial"/>
          <w:sz w:val="22"/>
          <w:szCs w:val="22"/>
        </w:rPr>
        <w:t xml:space="preserve"> are interlinked</w:t>
      </w:r>
      <w:r w:rsidR="004F19A2">
        <w:rPr>
          <w:rFonts w:ascii="Arial" w:hAnsi="Arial" w:cs="Arial"/>
          <w:sz w:val="22"/>
          <w:szCs w:val="22"/>
        </w:rPr>
        <w:t xml:space="preserve">, we </w:t>
      </w:r>
      <w:r w:rsidR="00B7180C">
        <w:rPr>
          <w:rFonts w:ascii="Arial" w:hAnsi="Arial" w:cs="Arial"/>
          <w:sz w:val="22"/>
          <w:szCs w:val="22"/>
        </w:rPr>
        <w:t xml:space="preserve">have </w:t>
      </w:r>
      <w:r w:rsidR="004F19A2">
        <w:rPr>
          <w:rFonts w:ascii="Arial" w:hAnsi="Arial" w:cs="Arial"/>
          <w:sz w:val="22"/>
          <w:szCs w:val="22"/>
        </w:rPr>
        <w:t xml:space="preserve">included our responses to both </w:t>
      </w:r>
      <w:r w:rsidR="009625A9">
        <w:rPr>
          <w:rFonts w:ascii="Arial" w:hAnsi="Arial" w:cs="Arial"/>
          <w:sz w:val="22"/>
          <w:szCs w:val="22"/>
        </w:rPr>
        <w:t xml:space="preserve">questions </w:t>
      </w:r>
      <w:r w:rsidR="004F19A2">
        <w:rPr>
          <w:rFonts w:ascii="Arial" w:hAnsi="Arial" w:cs="Arial"/>
          <w:sz w:val="22"/>
          <w:szCs w:val="22"/>
        </w:rPr>
        <w:t xml:space="preserve">here. </w:t>
      </w:r>
    </w:p>
    <w:p w14:paraId="27AA07B8" w14:textId="77777777" w:rsidR="00B0504E" w:rsidRDefault="00B0504E" w:rsidP="00E07BCA">
      <w:pPr>
        <w:spacing w:after="0"/>
        <w:jc w:val="both"/>
        <w:rPr>
          <w:rFonts w:ascii="Arial" w:hAnsi="Arial" w:cs="Arial"/>
          <w:sz w:val="22"/>
          <w:szCs w:val="22"/>
        </w:rPr>
      </w:pPr>
    </w:p>
    <w:p w14:paraId="23FB7528" w14:textId="219815B1" w:rsidR="00671836" w:rsidRDefault="00AD622D" w:rsidP="00E07BCA">
      <w:pPr>
        <w:spacing w:after="0"/>
        <w:jc w:val="both"/>
        <w:rPr>
          <w:rFonts w:ascii="Arial" w:hAnsi="Arial" w:cs="Arial"/>
          <w:sz w:val="22"/>
          <w:szCs w:val="22"/>
        </w:rPr>
      </w:pPr>
      <w:r>
        <w:rPr>
          <w:rFonts w:ascii="Arial" w:hAnsi="Arial" w:cs="Arial"/>
          <w:sz w:val="22"/>
          <w:szCs w:val="22"/>
        </w:rPr>
        <w:t xml:space="preserve">We agree with ESMA's </w:t>
      </w:r>
      <w:r w:rsidR="00102FDF">
        <w:rPr>
          <w:rFonts w:ascii="Arial" w:hAnsi="Arial" w:cs="Arial"/>
          <w:sz w:val="22"/>
          <w:szCs w:val="22"/>
        </w:rPr>
        <w:t>proposal to</w:t>
      </w:r>
      <w:r w:rsidR="00B47941">
        <w:rPr>
          <w:rFonts w:ascii="Arial" w:hAnsi="Arial" w:cs="Arial"/>
          <w:sz w:val="22"/>
          <w:szCs w:val="22"/>
        </w:rPr>
        <w:t xml:space="preserve"> establis</w:t>
      </w:r>
      <w:r w:rsidR="00102FDF">
        <w:rPr>
          <w:rFonts w:ascii="Arial" w:hAnsi="Arial" w:cs="Arial"/>
          <w:sz w:val="22"/>
          <w:szCs w:val="22"/>
        </w:rPr>
        <w:t>h</w:t>
      </w:r>
      <w:r w:rsidR="00B47941">
        <w:rPr>
          <w:rFonts w:ascii="Arial" w:hAnsi="Arial" w:cs="Arial"/>
          <w:sz w:val="22"/>
          <w:szCs w:val="22"/>
        </w:rPr>
        <w:t xml:space="preserve"> aggregate thresholds </w:t>
      </w:r>
      <w:r w:rsidR="00294568">
        <w:rPr>
          <w:rFonts w:ascii="Arial" w:hAnsi="Arial" w:cs="Arial"/>
          <w:sz w:val="22"/>
          <w:szCs w:val="22"/>
        </w:rPr>
        <w:t xml:space="preserve">only </w:t>
      </w:r>
      <w:r w:rsidR="00B47941">
        <w:rPr>
          <w:rFonts w:ascii="Arial" w:hAnsi="Arial" w:cs="Arial"/>
          <w:sz w:val="22"/>
          <w:szCs w:val="22"/>
        </w:rPr>
        <w:t xml:space="preserve">for asset classes </w:t>
      </w:r>
      <w:r w:rsidR="006D7CCB">
        <w:rPr>
          <w:rFonts w:ascii="Arial" w:hAnsi="Arial" w:cs="Arial"/>
          <w:sz w:val="22"/>
          <w:szCs w:val="22"/>
        </w:rPr>
        <w:t xml:space="preserve">currently </w:t>
      </w:r>
      <w:r w:rsidR="00B47941">
        <w:rPr>
          <w:rFonts w:ascii="Arial" w:hAnsi="Arial" w:cs="Arial"/>
          <w:sz w:val="22"/>
          <w:szCs w:val="22"/>
        </w:rPr>
        <w:t>subject to the clearing obligation and to ma</w:t>
      </w:r>
      <w:r w:rsidR="00216607">
        <w:rPr>
          <w:rFonts w:ascii="Arial" w:hAnsi="Arial" w:cs="Arial"/>
          <w:sz w:val="22"/>
          <w:szCs w:val="22"/>
        </w:rPr>
        <w:t xml:space="preserve">intaining the current thresholds for both </w:t>
      </w:r>
      <w:r w:rsidR="00414C36">
        <w:rPr>
          <w:rFonts w:ascii="Arial" w:hAnsi="Arial" w:cs="Arial"/>
          <w:sz w:val="22"/>
          <w:szCs w:val="22"/>
        </w:rPr>
        <w:t>IRDs</w:t>
      </w:r>
      <w:r w:rsidR="00216607">
        <w:rPr>
          <w:rFonts w:ascii="Arial" w:hAnsi="Arial" w:cs="Arial"/>
          <w:sz w:val="22"/>
          <w:szCs w:val="22"/>
        </w:rPr>
        <w:t xml:space="preserve"> and credit derivatives</w:t>
      </w:r>
      <w:r w:rsidR="003338E5">
        <w:rPr>
          <w:rFonts w:ascii="Arial" w:hAnsi="Arial" w:cs="Arial"/>
          <w:sz w:val="22"/>
          <w:szCs w:val="22"/>
        </w:rPr>
        <w:t>.</w:t>
      </w:r>
      <w:r w:rsidR="001A44E1">
        <w:rPr>
          <w:rFonts w:ascii="Arial" w:hAnsi="Arial" w:cs="Arial"/>
          <w:sz w:val="22"/>
          <w:szCs w:val="22"/>
        </w:rPr>
        <w:t xml:space="preserve"> </w:t>
      </w:r>
    </w:p>
    <w:p w14:paraId="64D39ED3" w14:textId="77777777" w:rsidR="005F3BF5" w:rsidRDefault="005F3BF5" w:rsidP="00E07BCA">
      <w:pPr>
        <w:spacing w:after="0"/>
        <w:jc w:val="both"/>
        <w:rPr>
          <w:rFonts w:ascii="Arial" w:hAnsi="Arial" w:cs="Arial"/>
          <w:sz w:val="22"/>
          <w:szCs w:val="22"/>
        </w:rPr>
      </w:pPr>
    </w:p>
    <w:p w14:paraId="671A79E4" w14:textId="1E06D525" w:rsidR="004640B4" w:rsidRDefault="00574EDB" w:rsidP="00AF63B7">
      <w:pPr>
        <w:spacing w:after="0"/>
        <w:jc w:val="both"/>
        <w:rPr>
          <w:rFonts w:ascii="Arial" w:hAnsi="Arial" w:cs="Arial"/>
          <w:sz w:val="22"/>
          <w:szCs w:val="22"/>
        </w:rPr>
      </w:pPr>
      <w:r>
        <w:rPr>
          <w:rFonts w:ascii="Arial" w:hAnsi="Arial" w:cs="Arial"/>
          <w:sz w:val="22"/>
          <w:szCs w:val="22"/>
        </w:rPr>
        <w:t xml:space="preserve">However, we note that ESMA's proposal does not clarify the anticipated timings for </w:t>
      </w:r>
      <w:r w:rsidR="00815CA8">
        <w:rPr>
          <w:rFonts w:ascii="Arial" w:hAnsi="Arial" w:cs="Arial"/>
          <w:sz w:val="22"/>
          <w:szCs w:val="22"/>
        </w:rPr>
        <w:t xml:space="preserve">market participants to make </w:t>
      </w:r>
      <w:r>
        <w:rPr>
          <w:rFonts w:ascii="Arial" w:hAnsi="Arial" w:cs="Arial"/>
          <w:sz w:val="22"/>
          <w:szCs w:val="22"/>
        </w:rPr>
        <w:t xml:space="preserve">calculations. </w:t>
      </w:r>
      <w:r w:rsidR="004545BD">
        <w:rPr>
          <w:rFonts w:ascii="Arial" w:hAnsi="Arial" w:cs="Arial"/>
          <w:sz w:val="22"/>
          <w:szCs w:val="22"/>
        </w:rPr>
        <w:t>T</w:t>
      </w:r>
      <w:r w:rsidR="00D91049">
        <w:rPr>
          <w:rFonts w:ascii="Arial" w:hAnsi="Arial" w:cs="Arial"/>
          <w:sz w:val="22"/>
          <w:szCs w:val="22"/>
        </w:rPr>
        <w:t xml:space="preserve">his point is of wider application than Question </w:t>
      </w:r>
      <w:proofErr w:type="gramStart"/>
      <w:r w:rsidR="00D91049">
        <w:rPr>
          <w:rFonts w:ascii="Arial" w:hAnsi="Arial" w:cs="Arial"/>
          <w:sz w:val="22"/>
          <w:szCs w:val="22"/>
        </w:rPr>
        <w:t>1</w:t>
      </w:r>
      <w:proofErr w:type="gramEnd"/>
      <w:r w:rsidR="00D91049">
        <w:rPr>
          <w:rFonts w:ascii="Arial" w:hAnsi="Arial" w:cs="Arial"/>
          <w:sz w:val="22"/>
          <w:szCs w:val="22"/>
        </w:rPr>
        <w:t xml:space="preserve"> but we raise it here.</w:t>
      </w:r>
    </w:p>
    <w:p w14:paraId="6945FECB" w14:textId="77777777" w:rsidR="00D91049" w:rsidRDefault="00D91049" w:rsidP="00AF63B7">
      <w:pPr>
        <w:spacing w:after="0"/>
        <w:jc w:val="both"/>
        <w:rPr>
          <w:rFonts w:ascii="Arial" w:hAnsi="Arial" w:cs="Arial"/>
          <w:sz w:val="22"/>
          <w:szCs w:val="22"/>
        </w:rPr>
      </w:pPr>
    </w:p>
    <w:p w14:paraId="7BCD4EE9" w14:textId="0A9563DC" w:rsidR="00BC393D" w:rsidRDefault="008E561C" w:rsidP="00AF63B7">
      <w:pPr>
        <w:spacing w:after="0"/>
        <w:jc w:val="both"/>
        <w:rPr>
          <w:rFonts w:ascii="Arial" w:hAnsi="Arial" w:cs="Arial"/>
          <w:sz w:val="22"/>
          <w:szCs w:val="22"/>
        </w:rPr>
      </w:pPr>
      <w:r>
        <w:rPr>
          <w:rFonts w:ascii="Arial" w:hAnsi="Arial" w:cs="Arial"/>
          <w:sz w:val="22"/>
          <w:szCs w:val="22"/>
        </w:rPr>
        <w:t>I</w:t>
      </w:r>
      <w:r w:rsidR="00661ED9">
        <w:rPr>
          <w:rFonts w:ascii="Arial" w:hAnsi="Arial" w:cs="Arial"/>
          <w:sz w:val="22"/>
          <w:szCs w:val="22"/>
        </w:rPr>
        <w:t xml:space="preserve">t is unclear from EMIR 3.0 when market participants are expected to </w:t>
      </w:r>
      <w:r w:rsidR="000F5733">
        <w:rPr>
          <w:rFonts w:ascii="Arial" w:hAnsi="Arial" w:cs="Arial"/>
          <w:sz w:val="22"/>
          <w:szCs w:val="22"/>
        </w:rPr>
        <w:t>mak</w:t>
      </w:r>
      <w:r w:rsidR="00661ED9">
        <w:rPr>
          <w:rFonts w:ascii="Arial" w:hAnsi="Arial" w:cs="Arial"/>
          <w:sz w:val="22"/>
          <w:szCs w:val="22"/>
        </w:rPr>
        <w:t>e</w:t>
      </w:r>
      <w:r w:rsidR="000F5733">
        <w:rPr>
          <w:rFonts w:ascii="Arial" w:hAnsi="Arial" w:cs="Arial"/>
          <w:sz w:val="22"/>
          <w:szCs w:val="22"/>
        </w:rPr>
        <w:t xml:space="preserve"> calculations against the </w:t>
      </w:r>
      <w:r w:rsidR="00661ED9">
        <w:rPr>
          <w:rFonts w:ascii="Arial" w:hAnsi="Arial" w:cs="Arial"/>
          <w:sz w:val="22"/>
          <w:szCs w:val="22"/>
        </w:rPr>
        <w:t>new</w:t>
      </w:r>
      <w:r w:rsidR="000F5733">
        <w:rPr>
          <w:rFonts w:ascii="Arial" w:hAnsi="Arial" w:cs="Arial"/>
          <w:sz w:val="22"/>
          <w:szCs w:val="22"/>
        </w:rPr>
        <w:t xml:space="preserve"> thresholds. </w:t>
      </w:r>
      <w:r w:rsidR="00661ED9">
        <w:rPr>
          <w:rFonts w:ascii="Arial" w:hAnsi="Arial" w:cs="Arial"/>
          <w:sz w:val="22"/>
          <w:szCs w:val="22"/>
        </w:rPr>
        <w:t>Article 5 o</w:t>
      </w:r>
      <w:r w:rsidR="00B349B4">
        <w:rPr>
          <w:rFonts w:ascii="Arial" w:hAnsi="Arial" w:cs="Arial"/>
          <w:sz w:val="22"/>
          <w:szCs w:val="22"/>
        </w:rPr>
        <w:t>f</w:t>
      </w:r>
      <w:r w:rsidR="00661ED9">
        <w:rPr>
          <w:rFonts w:ascii="Arial" w:hAnsi="Arial" w:cs="Arial"/>
          <w:sz w:val="22"/>
          <w:szCs w:val="22"/>
        </w:rPr>
        <w:t xml:space="preserve"> EMIR 3.0 states that the changes to the clearing thresholds under Article 4(a) and Article 10 shall not apply until the entry into force of the RTS that are the subject of this consultation paper. However, we would ask ESMA to note that under the current pre-EMIR 3.0 position, and in line with OTC Answer </w:t>
      </w:r>
      <w:r w:rsidR="001514E9">
        <w:rPr>
          <w:rFonts w:ascii="Arial" w:hAnsi="Arial" w:cs="Arial"/>
          <w:sz w:val="22"/>
          <w:szCs w:val="22"/>
        </w:rPr>
        <w:t>2</w:t>
      </w:r>
      <w:r w:rsidR="00661ED9">
        <w:rPr>
          <w:rFonts w:ascii="Arial" w:hAnsi="Arial" w:cs="Arial"/>
          <w:sz w:val="22"/>
          <w:szCs w:val="22"/>
        </w:rPr>
        <w:t xml:space="preserve"> of ESMA's Questions and Answers on the Implementation of Regulation (EU) No 648/2012 on OTC derivatives</w:t>
      </w:r>
      <w:r w:rsidR="00B431B1">
        <w:rPr>
          <w:rFonts w:ascii="Arial" w:hAnsi="Arial" w:cs="Arial"/>
          <w:sz w:val="22"/>
          <w:szCs w:val="22"/>
        </w:rPr>
        <w:t xml:space="preserve"> (the "</w:t>
      </w:r>
      <w:r w:rsidR="00B431B1" w:rsidRPr="000F7F02">
        <w:rPr>
          <w:rFonts w:ascii="Arial" w:hAnsi="Arial" w:cs="Arial"/>
          <w:b/>
          <w:bCs/>
          <w:sz w:val="22"/>
          <w:szCs w:val="22"/>
        </w:rPr>
        <w:t>OTC Q&amp;A</w:t>
      </w:r>
      <w:r w:rsidR="00B431B1">
        <w:rPr>
          <w:rFonts w:ascii="Arial" w:hAnsi="Arial" w:cs="Arial"/>
          <w:sz w:val="22"/>
          <w:szCs w:val="22"/>
        </w:rPr>
        <w:t>")</w:t>
      </w:r>
      <w:r w:rsidR="00661ED9">
        <w:rPr>
          <w:rFonts w:ascii="Arial" w:hAnsi="Arial" w:cs="Arial"/>
          <w:sz w:val="22"/>
          <w:szCs w:val="22"/>
        </w:rPr>
        <w:t xml:space="preserve">, central counterparties and trade repositories (EMIR), </w:t>
      </w:r>
      <w:r w:rsidR="005E5F4C">
        <w:rPr>
          <w:rFonts w:ascii="Arial" w:hAnsi="Arial" w:cs="Arial"/>
          <w:sz w:val="22"/>
          <w:szCs w:val="22"/>
        </w:rPr>
        <w:t>most market participants make calculations</w:t>
      </w:r>
      <w:r w:rsidR="00AF63B7">
        <w:rPr>
          <w:rFonts w:ascii="Arial" w:hAnsi="Arial" w:cs="Arial"/>
          <w:sz w:val="22"/>
          <w:szCs w:val="22"/>
        </w:rPr>
        <w:t xml:space="preserve"> every 12 months on 17 June (the day EMIR Refit came into force)</w:t>
      </w:r>
      <w:r w:rsidR="005E5F4C">
        <w:rPr>
          <w:rFonts w:ascii="Arial" w:hAnsi="Arial" w:cs="Arial"/>
          <w:sz w:val="22"/>
          <w:szCs w:val="22"/>
        </w:rPr>
        <w:t xml:space="preserve"> by reference to the 12 month period ending on that date in order to determine their c</w:t>
      </w:r>
      <w:r w:rsidR="00130C7B">
        <w:rPr>
          <w:rFonts w:ascii="Arial" w:hAnsi="Arial" w:cs="Arial"/>
          <w:sz w:val="22"/>
          <w:szCs w:val="22"/>
        </w:rPr>
        <w:t>lassification</w:t>
      </w:r>
      <w:r w:rsidR="005E5F4C">
        <w:rPr>
          <w:rFonts w:ascii="Arial" w:hAnsi="Arial" w:cs="Arial"/>
          <w:sz w:val="22"/>
          <w:szCs w:val="22"/>
        </w:rPr>
        <w:t xml:space="preserve"> for the next following 12 month period</w:t>
      </w:r>
      <w:r w:rsidR="00AF63B7">
        <w:rPr>
          <w:rFonts w:ascii="Arial" w:hAnsi="Arial" w:cs="Arial"/>
          <w:sz w:val="22"/>
          <w:szCs w:val="22"/>
        </w:rPr>
        <w:t>.</w:t>
      </w:r>
      <w:r w:rsidR="00AF63B7">
        <w:rPr>
          <w:rStyle w:val="FootnoteReference"/>
          <w:rFonts w:ascii="Arial" w:hAnsi="Arial" w:cs="Arial"/>
          <w:sz w:val="22"/>
          <w:szCs w:val="22"/>
        </w:rPr>
        <w:footnoteReference w:id="1"/>
      </w:r>
      <w:r w:rsidR="00B349B4">
        <w:rPr>
          <w:rFonts w:ascii="Arial" w:hAnsi="Arial" w:cs="Arial"/>
          <w:sz w:val="22"/>
          <w:szCs w:val="22"/>
        </w:rPr>
        <w:t xml:space="preserve"> </w:t>
      </w:r>
      <w:r w:rsidR="00BF5108">
        <w:rPr>
          <w:rFonts w:ascii="Arial" w:hAnsi="Arial" w:cs="Arial"/>
          <w:sz w:val="22"/>
          <w:szCs w:val="22"/>
        </w:rPr>
        <w:t>As such it is</w:t>
      </w:r>
      <w:r w:rsidR="00AF63B7">
        <w:rPr>
          <w:rFonts w:ascii="Arial" w:hAnsi="Arial" w:cs="Arial"/>
          <w:sz w:val="22"/>
          <w:szCs w:val="22"/>
        </w:rPr>
        <w:t xml:space="preserve"> unclear </w:t>
      </w:r>
      <w:r w:rsidR="00BA0A1C">
        <w:rPr>
          <w:rFonts w:ascii="Arial" w:hAnsi="Arial" w:cs="Arial"/>
          <w:sz w:val="22"/>
          <w:szCs w:val="22"/>
        </w:rPr>
        <w:t xml:space="preserve">how the current timing and determinations interact with the entry into force of this RTS and the new thresholds. </w:t>
      </w:r>
    </w:p>
    <w:p w14:paraId="351DB973" w14:textId="77777777" w:rsidR="00BC393D" w:rsidRDefault="00BC393D" w:rsidP="00AF63B7">
      <w:pPr>
        <w:spacing w:after="0"/>
        <w:jc w:val="both"/>
        <w:rPr>
          <w:rFonts w:ascii="Arial" w:hAnsi="Arial" w:cs="Arial"/>
          <w:sz w:val="22"/>
          <w:szCs w:val="22"/>
        </w:rPr>
      </w:pPr>
    </w:p>
    <w:p w14:paraId="1DDB020C" w14:textId="6F629C93" w:rsidR="000F5733" w:rsidRDefault="000F5733" w:rsidP="00AF63B7">
      <w:pPr>
        <w:spacing w:after="0"/>
        <w:jc w:val="both"/>
        <w:rPr>
          <w:rFonts w:ascii="Arial" w:hAnsi="Arial" w:cs="Arial"/>
          <w:sz w:val="22"/>
          <w:szCs w:val="22"/>
        </w:rPr>
      </w:pPr>
      <w:r>
        <w:rPr>
          <w:rFonts w:ascii="Arial" w:hAnsi="Arial" w:cs="Arial"/>
          <w:sz w:val="22"/>
          <w:szCs w:val="22"/>
        </w:rPr>
        <w:t xml:space="preserve">We would therefore welcome guidance from ESMA </w:t>
      </w:r>
      <w:r w:rsidR="004C32C0">
        <w:rPr>
          <w:rFonts w:ascii="Arial" w:hAnsi="Arial" w:cs="Arial"/>
          <w:sz w:val="22"/>
          <w:szCs w:val="22"/>
        </w:rPr>
        <w:t xml:space="preserve">as part of the </w:t>
      </w:r>
      <w:r w:rsidR="00D544C2">
        <w:rPr>
          <w:rFonts w:ascii="Arial" w:hAnsi="Arial" w:cs="Arial"/>
          <w:sz w:val="22"/>
          <w:szCs w:val="22"/>
        </w:rPr>
        <w:t>finalisation</w:t>
      </w:r>
      <w:r w:rsidR="004C32C0">
        <w:rPr>
          <w:rFonts w:ascii="Arial" w:hAnsi="Arial" w:cs="Arial"/>
          <w:sz w:val="22"/>
          <w:szCs w:val="22"/>
        </w:rPr>
        <w:t xml:space="preserve"> of the RTS as to what market participants should expect in this respect.</w:t>
      </w:r>
    </w:p>
    <w:p w14:paraId="77D432F0" w14:textId="77777777" w:rsidR="000A4CED" w:rsidRDefault="000A4CED" w:rsidP="00E07BCA">
      <w:pPr>
        <w:spacing w:after="0"/>
        <w:jc w:val="both"/>
        <w:rPr>
          <w:rFonts w:ascii="Arial" w:hAnsi="Arial" w:cs="Arial"/>
          <w:sz w:val="22"/>
          <w:szCs w:val="22"/>
        </w:rPr>
      </w:pPr>
    </w:p>
    <w:p w14:paraId="19AE1818" w14:textId="68FB9C8E" w:rsidR="00C377CE" w:rsidRDefault="00D016D9" w:rsidP="00C377CE">
      <w:pPr>
        <w:spacing w:after="0"/>
        <w:jc w:val="both"/>
        <w:rPr>
          <w:rFonts w:ascii="Arial" w:hAnsi="Arial" w:cs="Arial"/>
          <w:sz w:val="22"/>
          <w:szCs w:val="22"/>
        </w:rPr>
      </w:pPr>
      <w:r>
        <w:rPr>
          <w:rFonts w:ascii="Arial" w:hAnsi="Arial" w:cs="Arial"/>
          <w:sz w:val="22"/>
          <w:szCs w:val="22"/>
        </w:rPr>
        <w:t>Given the calculation methodologies introduced by EMIR 3.0 are different for FCs and NFCs</w:t>
      </w:r>
      <w:r w:rsidR="00BC393D">
        <w:rPr>
          <w:rFonts w:ascii="Arial" w:hAnsi="Arial" w:cs="Arial"/>
          <w:sz w:val="22"/>
          <w:szCs w:val="22"/>
        </w:rPr>
        <w:t xml:space="preserve"> (in that FCs will be subject to both the aggregate threshold and the uncleared threshold)</w:t>
      </w:r>
      <w:r w:rsidR="002E1E13">
        <w:rPr>
          <w:rFonts w:ascii="Arial" w:hAnsi="Arial" w:cs="Arial"/>
          <w:sz w:val="22"/>
          <w:szCs w:val="22"/>
        </w:rPr>
        <w:t>,</w:t>
      </w:r>
      <w:r>
        <w:rPr>
          <w:rFonts w:ascii="Arial" w:hAnsi="Arial" w:cs="Arial"/>
          <w:sz w:val="22"/>
          <w:szCs w:val="22"/>
        </w:rPr>
        <w:t xml:space="preserve"> we would strongly encourage </w:t>
      </w:r>
      <w:r w:rsidRPr="007E6661">
        <w:rPr>
          <w:rFonts w:ascii="Arial" w:hAnsi="Arial" w:cs="Arial"/>
          <w:sz w:val="22"/>
          <w:szCs w:val="22"/>
        </w:rPr>
        <w:t xml:space="preserve">ESMA to consider the differing impacts of any proposed timeframe </w:t>
      </w:r>
      <w:r w:rsidR="00DA744C" w:rsidRPr="007E6661">
        <w:rPr>
          <w:rFonts w:ascii="Arial" w:hAnsi="Arial" w:cs="Arial"/>
          <w:sz w:val="22"/>
          <w:szCs w:val="22"/>
        </w:rPr>
        <w:t xml:space="preserve">on these entities </w:t>
      </w:r>
      <w:r w:rsidR="001A2CE0" w:rsidRPr="007E6661">
        <w:rPr>
          <w:rFonts w:ascii="Arial" w:hAnsi="Arial" w:cs="Arial"/>
          <w:sz w:val="22"/>
          <w:szCs w:val="22"/>
        </w:rPr>
        <w:t>when</w:t>
      </w:r>
      <w:r w:rsidRPr="007E6661">
        <w:rPr>
          <w:rFonts w:ascii="Arial" w:hAnsi="Arial" w:cs="Arial"/>
          <w:sz w:val="22"/>
          <w:szCs w:val="22"/>
        </w:rPr>
        <w:t xml:space="preserve"> issuing any guidance. </w:t>
      </w:r>
      <w:r w:rsidR="006501DD" w:rsidRPr="007E6661">
        <w:rPr>
          <w:rFonts w:ascii="Arial" w:hAnsi="Arial" w:cs="Arial"/>
          <w:sz w:val="22"/>
          <w:szCs w:val="22"/>
        </w:rPr>
        <w:t>For F</w:t>
      </w:r>
      <w:r w:rsidR="00BC393D" w:rsidRPr="007E6661">
        <w:rPr>
          <w:rFonts w:ascii="Arial" w:hAnsi="Arial" w:cs="Arial"/>
          <w:sz w:val="22"/>
          <w:szCs w:val="22"/>
        </w:rPr>
        <w:t>Cs</w:t>
      </w:r>
      <w:r w:rsidR="006501DD" w:rsidRPr="007E6661">
        <w:rPr>
          <w:rFonts w:ascii="Arial" w:hAnsi="Arial" w:cs="Arial"/>
          <w:sz w:val="22"/>
          <w:szCs w:val="22"/>
        </w:rPr>
        <w:t>, the new methodology will require a higher implementation lift for compliance</w:t>
      </w:r>
      <w:r w:rsidR="006428C9" w:rsidRPr="007E6661">
        <w:rPr>
          <w:rFonts w:ascii="Arial" w:hAnsi="Arial" w:cs="Arial"/>
          <w:sz w:val="22"/>
          <w:szCs w:val="22"/>
        </w:rPr>
        <w:t xml:space="preserve"> and we would stress that FCs will therefore need sufficient time to </w:t>
      </w:r>
      <w:r w:rsidR="00272551" w:rsidRPr="007E6661">
        <w:rPr>
          <w:rFonts w:ascii="Arial" w:hAnsi="Arial" w:cs="Arial"/>
          <w:sz w:val="22"/>
          <w:szCs w:val="22"/>
        </w:rPr>
        <w:t>comply</w:t>
      </w:r>
      <w:r w:rsidR="00C45362" w:rsidRPr="007E6661">
        <w:rPr>
          <w:rFonts w:ascii="Arial" w:hAnsi="Arial" w:cs="Arial"/>
          <w:sz w:val="22"/>
          <w:szCs w:val="22"/>
        </w:rPr>
        <w:t xml:space="preserve">. </w:t>
      </w:r>
      <w:r w:rsidR="00272551" w:rsidRPr="007E6661">
        <w:rPr>
          <w:rFonts w:ascii="Arial" w:hAnsi="Arial" w:cs="Arial"/>
          <w:sz w:val="22"/>
          <w:szCs w:val="22"/>
        </w:rPr>
        <w:t xml:space="preserve">While </w:t>
      </w:r>
      <w:r w:rsidR="00C45362" w:rsidRPr="007E6661">
        <w:rPr>
          <w:rFonts w:ascii="Arial" w:hAnsi="Arial" w:cs="Arial"/>
          <w:sz w:val="22"/>
          <w:szCs w:val="22"/>
        </w:rPr>
        <w:t xml:space="preserve">FCs will be </w:t>
      </w:r>
      <w:r w:rsidR="006428C9" w:rsidRPr="007E6661">
        <w:rPr>
          <w:rFonts w:ascii="Arial" w:hAnsi="Arial" w:cs="Arial"/>
          <w:sz w:val="22"/>
          <w:szCs w:val="22"/>
        </w:rPr>
        <w:t xml:space="preserve">expected to </w:t>
      </w:r>
      <w:r w:rsidR="00C45362" w:rsidRPr="007E6661">
        <w:rPr>
          <w:rFonts w:ascii="Arial" w:hAnsi="Arial" w:cs="Arial"/>
          <w:sz w:val="22"/>
          <w:szCs w:val="22"/>
        </w:rPr>
        <w:t>calculat</w:t>
      </w:r>
      <w:r w:rsidR="006428C9" w:rsidRPr="007E6661">
        <w:rPr>
          <w:rFonts w:ascii="Arial" w:hAnsi="Arial" w:cs="Arial"/>
          <w:sz w:val="22"/>
          <w:szCs w:val="22"/>
        </w:rPr>
        <w:t>e</w:t>
      </w:r>
      <w:r w:rsidR="00C45362" w:rsidRPr="007E6661">
        <w:rPr>
          <w:rFonts w:ascii="Arial" w:hAnsi="Arial" w:cs="Arial"/>
          <w:sz w:val="22"/>
          <w:szCs w:val="22"/>
        </w:rPr>
        <w:t xml:space="preserve"> positions against two different sets of thresholds</w:t>
      </w:r>
      <w:r w:rsidR="006428C9" w:rsidRPr="007E6661">
        <w:rPr>
          <w:rFonts w:ascii="Arial" w:hAnsi="Arial" w:cs="Arial"/>
          <w:sz w:val="22"/>
          <w:szCs w:val="22"/>
        </w:rPr>
        <w:t>,</w:t>
      </w:r>
      <w:r w:rsidR="00C45362" w:rsidRPr="007E6661">
        <w:rPr>
          <w:rFonts w:ascii="Arial" w:hAnsi="Arial" w:cs="Arial"/>
          <w:sz w:val="22"/>
          <w:szCs w:val="22"/>
        </w:rPr>
        <w:t xml:space="preserve"> </w:t>
      </w:r>
      <w:r w:rsidR="00272551" w:rsidRPr="007E6661">
        <w:rPr>
          <w:rFonts w:ascii="Arial" w:hAnsi="Arial" w:cs="Arial"/>
          <w:sz w:val="22"/>
          <w:szCs w:val="22"/>
        </w:rPr>
        <w:t xml:space="preserve">they </w:t>
      </w:r>
      <w:r w:rsidR="0031077B" w:rsidRPr="007E6661">
        <w:rPr>
          <w:rFonts w:ascii="Arial" w:hAnsi="Arial" w:cs="Arial"/>
          <w:sz w:val="22"/>
          <w:szCs w:val="22"/>
        </w:rPr>
        <w:t xml:space="preserve">will not be aware of the new clearing thresholds until potentially as late as when the RTS is entered into the Official Journal. </w:t>
      </w:r>
      <w:r w:rsidR="002A34E8" w:rsidRPr="007E6661">
        <w:rPr>
          <w:rFonts w:ascii="Arial" w:hAnsi="Arial" w:cs="Arial"/>
          <w:sz w:val="22"/>
          <w:szCs w:val="22"/>
        </w:rPr>
        <w:t>I</w:t>
      </w:r>
      <w:r w:rsidR="006501DD" w:rsidRPr="007E6661">
        <w:rPr>
          <w:rFonts w:ascii="Arial" w:hAnsi="Arial" w:cs="Arial"/>
          <w:sz w:val="22"/>
          <w:szCs w:val="22"/>
        </w:rPr>
        <w:t xml:space="preserve">f implementation is rushed, this </w:t>
      </w:r>
      <w:r w:rsidR="0031077B" w:rsidRPr="007E6661">
        <w:rPr>
          <w:rFonts w:ascii="Arial" w:hAnsi="Arial" w:cs="Arial"/>
          <w:sz w:val="22"/>
          <w:szCs w:val="22"/>
        </w:rPr>
        <w:t xml:space="preserve">will increase the </w:t>
      </w:r>
      <w:r w:rsidR="006501DD" w:rsidRPr="007E6661">
        <w:rPr>
          <w:rFonts w:ascii="Arial" w:hAnsi="Arial" w:cs="Arial"/>
          <w:sz w:val="22"/>
          <w:szCs w:val="22"/>
        </w:rPr>
        <w:t>risk</w:t>
      </w:r>
      <w:r w:rsidR="0031077B" w:rsidRPr="007E6661">
        <w:rPr>
          <w:rFonts w:ascii="Arial" w:hAnsi="Arial" w:cs="Arial"/>
          <w:sz w:val="22"/>
          <w:szCs w:val="22"/>
        </w:rPr>
        <w:t xml:space="preserve"> of</w:t>
      </w:r>
      <w:r w:rsidR="006501DD" w:rsidRPr="007E6661">
        <w:rPr>
          <w:rFonts w:ascii="Arial" w:hAnsi="Arial" w:cs="Arial"/>
          <w:sz w:val="22"/>
          <w:szCs w:val="22"/>
        </w:rPr>
        <w:t xml:space="preserve"> non-compliance</w:t>
      </w:r>
      <w:r w:rsidR="0031077B" w:rsidRPr="007E6661">
        <w:rPr>
          <w:rFonts w:ascii="Arial" w:hAnsi="Arial" w:cs="Arial"/>
          <w:sz w:val="22"/>
          <w:szCs w:val="22"/>
        </w:rPr>
        <w:t>.</w:t>
      </w:r>
      <w:r w:rsidR="006501DD" w:rsidRPr="007E6661">
        <w:rPr>
          <w:rFonts w:ascii="Arial" w:hAnsi="Arial" w:cs="Arial"/>
          <w:sz w:val="22"/>
          <w:szCs w:val="22"/>
        </w:rPr>
        <w:t xml:space="preserve"> </w:t>
      </w:r>
      <w:r w:rsidR="00C377CE" w:rsidRPr="007E6661">
        <w:rPr>
          <w:rFonts w:ascii="Arial" w:hAnsi="Arial" w:cs="Arial"/>
          <w:sz w:val="22"/>
          <w:szCs w:val="22"/>
        </w:rPr>
        <w:t>Moreover, this implementation is not just in an individual entity's control as potential outreach to establish the classification of counterparties will also be required</w:t>
      </w:r>
      <w:r w:rsidR="00FB573A">
        <w:rPr>
          <w:rFonts w:ascii="Arial" w:hAnsi="Arial" w:cs="Arial"/>
          <w:sz w:val="22"/>
          <w:szCs w:val="22"/>
        </w:rPr>
        <w:t xml:space="preserve"> (we set </w:t>
      </w:r>
      <w:r w:rsidR="007A4523">
        <w:rPr>
          <w:rFonts w:ascii="Arial" w:hAnsi="Arial" w:cs="Arial"/>
          <w:sz w:val="22"/>
          <w:szCs w:val="22"/>
        </w:rPr>
        <w:t xml:space="preserve">out </w:t>
      </w:r>
      <w:r w:rsidR="00FB573A">
        <w:rPr>
          <w:rFonts w:ascii="Arial" w:hAnsi="Arial" w:cs="Arial"/>
          <w:sz w:val="22"/>
          <w:szCs w:val="22"/>
        </w:rPr>
        <w:t>our proposal with respect to counterparty representations below).</w:t>
      </w:r>
    </w:p>
    <w:p w14:paraId="06ED731F" w14:textId="77777777" w:rsidR="00BC79DC" w:rsidRDefault="00BC79DC" w:rsidP="00E07BCA">
      <w:pPr>
        <w:spacing w:after="0"/>
        <w:jc w:val="both"/>
        <w:rPr>
          <w:rFonts w:ascii="Arial" w:hAnsi="Arial" w:cs="Arial"/>
          <w:sz w:val="22"/>
          <w:szCs w:val="22"/>
        </w:rPr>
      </w:pPr>
    </w:p>
    <w:p w14:paraId="200F9E12" w14:textId="2FDF0560" w:rsidR="00D12DC5" w:rsidRDefault="006501DD" w:rsidP="00E07BCA">
      <w:pPr>
        <w:spacing w:after="0"/>
        <w:jc w:val="both"/>
        <w:rPr>
          <w:rFonts w:ascii="Arial" w:hAnsi="Arial" w:cs="Arial"/>
          <w:sz w:val="22"/>
          <w:szCs w:val="22"/>
        </w:rPr>
      </w:pPr>
      <w:r>
        <w:rPr>
          <w:rFonts w:ascii="Arial" w:hAnsi="Arial" w:cs="Arial"/>
          <w:sz w:val="22"/>
          <w:szCs w:val="22"/>
        </w:rPr>
        <w:lastRenderedPageBreak/>
        <w:t xml:space="preserve">At the same time, </w:t>
      </w:r>
      <w:r w:rsidR="00BC393D">
        <w:rPr>
          <w:rFonts w:ascii="Arial" w:hAnsi="Arial" w:cs="Arial"/>
          <w:sz w:val="22"/>
          <w:szCs w:val="22"/>
        </w:rPr>
        <w:t>many</w:t>
      </w:r>
      <w:r w:rsidR="00052A0D">
        <w:rPr>
          <w:rFonts w:ascii="Arial" w:hAnsi="Arial" w:cs="Arial"/>
          <w:sz w:val="22"/>
          <w:szCs w:val="22"/>
        </w:rPr>
        <w:t xml:space="preserve"> NFC</w:t>
      </w:r>
      <w:r w:rsidR="00BC393D">
        <w:rPr>
          <w:rFonts w:ascii="Arial" w:hAnsi="Arial" w:cs="Arial"/>
          <w:sz w:val="22"/>
          <w:szCs w:val="22"/>
        </w:rPr>
        <w:t>s</w:t>
      </w:r>
      <w:r w:rsidR="00052A0D">
        <w:rPr>
          <w:rFonts w:ascii="Arial" w:hAnsi="Arial" w:cs="Arial"/>
          <w:sz w:val="22"/>
          <w:szCs w:val="22"/>
        </w:rPr>
        <w:t xml:space="preserve"> will want to take immediate advantage of the new calculation methodology given </w:t>
      </w:r>
      <w:r w:rsidR="00610A18">
        <w:rPr>
          <w:rFonts w:ascii="Arial" w:hAnsi="Arial" w:cs="Arial"/>
          <w:sz w:val="22"/>
          <w:szCs w:val="22"/>
        </w:rPr>
        <w:t>th</w:t>
      </w:r>
      <w:r w:rsidR="009F6F8D">
        <w:rPr>
          <w:rFonts w:ascii="Arial" w:hAnsi="Arial" w:cs="Arial"/>
          <w:sz w:val="22"/>
          <w:szCs w:val="22"/>
        </w:rPr>
        <w:t>at the</w:t>
      </w:r>
      <w:r w:rsidR="00610A18">
        <w:rPr>
          <w:rFonts w:ascii="Arial" w:hAnsi="Arial" w:cs="Arial"/>
          <w:sz w:val="22"/>
          <w:szCs w:val="22"/>
        </w:rPr>
        <w:t xml:space="preserve"> shift away from the ETD vs OTC distinction to focus on non-centrally cleared derivative contracts is a welcome change for NFCs</w:t>
      </w:r>
      <w:r w:rsidR="00052A0D">
        <w:rPr>
          <w:rFonts w:ascii="Arial" w:hAnsi="Arial" w:cs="Arial"/>
          <w:sz w:val="22"/>
          <w:szCs w:val="22"/>
        </w:rPr>
        <w:t>.</w:t>
      </w:r>
      <w:r w:rsidR="00BA13E1">
        <w:rPr>
          <w:rFonts w:ascii="Arial" w:hAnsi="Arial" w:cs="Arial"/>
          <w:sz w:val="22"/>
          <w:szCs w:val="22"/>
        </w:rPr>
        <w:t xml:space="preserve"> As discussed in more detail in respect of commodity derivatives </w:t>
      </w:r>
      <w:r w:rsidR="009C73EA">
        <w:rPr>
          <w:rFonts w:ascii="Arial" w:hAnsi="Arial" w:cs="Arial"/>
          <w:sz w:val="22"/>
          <w:szCs w:val="22"/>
        </w:rPr>
        <w:t xml:space="preserve">(see </w:t>
      </w:r>
      <w:r w:rsidR="00DE5242">
        <w:rPr>
          <w:rFonts w:ascii="Arial" w:hAnsi="Arial" w:cs="Arial"/>
          <w:sz w:val="22"/>
          <w:szCs w:val="22"/>
        </w:rPr>
        <w:t xml:space="preserve">further </w:t>
      </w:r>
      <w:r w:rsidR="009C73EA">
        <w:rPr>
          <w:rFonts w:ascii="Arial" w:hAnsi="Arial" w:cs="Arial"/>
          <w:sz w:val="22"/>
          <w:szCs w:val="22"/>
        </w:rPr>
        <w:t>our response to</w:t>
      </w:r>
      <w:r w:rsidR="00BA13E1">
        <w:rPr>
          <w:rFonts w:ascii="Arial" w:hAnsi="Arial" w:cs="Arial"/>
          <w:sz w:val="22"/>
          <w:szCs w:val="22"/>
        </w:rPr>
        <w:t xml:space="preserve"> </w:t>
      </w:r>
      <w:r w:rsidR="009F6F8D">
        <w:rPr>
          <w:rFonts w:ascii="Arial" w:hAnsi="Arial" w:cs="Arial"/>
          <w:sz w:val="22"/>
          <w:szCs w:val="22"/>
        </w:rPr>
        <w:t>Q</w:t>
      </w:r>
      <w:r w:rsidR="00BA13E1">
        <w:rPr>
          <w:rFonts w:ascii="Arial" w:hAnsi="Arial" w:cs="Arial"/>
          <w:sz w:val="22"/>
          <w:szCs w:val="22"/>
        </w:rPr>
        <w:t>uestion 3</w:t>
      </w:r>
      <w:r w:rsidR="009C73EA">
        <w:rPr>
          <w:rFonts w:ascii="Arial" w:hAnsi="Arial" w:cs="Arial"/>
          <w:sz w:val="22"/>
          <w:szCs w:val="22"/>
        </w:rPr>
        <w:t>)</w:t>
      </w:r>
      <w:r w:rsidR="00BA13E1">
        <w:rPr>
          <w:rFonts w:ascii="Arial" w:hAnsi="Arial" w:cs="Arial"/>
          <w:sz w:val="22"/>
          <w:szCs w:val="22"/>
        </w:rPr>
        <w:t>, NFCs have been forced to withhold or limit their trading to avoid exceeding the clearing thresholds</w:t>
      </w:r>
      <w:r w:rsidR="00E12E2D">
        <w:rPr>
          <w:rFonts w:ascii="Arial" w:hAnsi="Arial" w:cs="Arial"/>
          <w:sz w:val="22"/>
          <w:szCs w:val="22"/>
        </w:rPr>
        <w:t>,</w:t>
      </w:r>
      <w:r w:rsidR="00BA13E1">
        <w:rPr>
          <w:rFonts w:ascii="Arial" w:hAnsi="Arial" w:cs="Arial"/>
          <w:sz w:val="22"/>
          <w:szCs w:val="22"/>
        </w:rPr>
        <w:t xml:space="preserve"> which is withdrawing liquidity from the market. </w:t>
      </w:r>
      <w:r w:rsidR="00610A18">
        <w:rPr>
          <w:rFonts w:ascii="Arial" w:hAnsi="Arial" w:cs="Arial"/>
          <w:sz w:val="22"/>
          <w:szCs w:val="22"/>
        </w:rPr>
        <w:t xml:space="preserve">The new calculation methodology will help to alleviate this and, in turn, be better </w:t>
      </w:r>
      <w:r w:rsidR="00BA13E1">
        <w:rPr>
          <w:rFonts w:ascii="Arial" w:hAnsi="Arial" w:cs="Arial"/>
          <w:sz w:val="22"/>
          <w:szCs w:val="22"/>
        </w:rPr>
        <w:t xml:space="preserve">for </w:t>
      </w:r>
      <w:r w:rsidR="007634C9">
        <w:rPr>
          <w:rFonts w:ascii="Arial" w:hAnsi="Arial" w:cs="Arial"/>
          <w:sz w:val="22"/>
          <w:szCs w:val="22"/>
        </w:rPr>
        <w:t xml:space="preserve">EU </w:t>
      </w:r>
      <w:r w:rsidR="00BA13E1">
        <w:rPr>
          <w:rFonts w:ascii="Arial" w:hAnsi="Arial" w:cs="Arial"/>
          <w:sz w:val="22"/>
          <w:szCs w:val="22"/>
        </w:rPr>
        <w:t>market liquidity</w:t>
      </w:r>
      <w:r w:rsidR="00E12E2D">
        <w:rPr>
          <w:rFonts w:ascii="Arial" w:hAnsi="Arial" w:cs="Arial"/>
          <w:sz w:val="22"/>
          <w:szCs w:val="22"/>
        </w:rPr>
        <w:t>, aligning with the European Commission's growth agenda</w:t>
      </w:r>
      <w:r w:rsidR="00D75CBC">
        <w:rPr>
          <w:rFonts w:ascii="Arial" w:hAnsi="Arial" w:cs="Arial"/>
          <w:sz w:val="22"/>
          <w:szCs w:val="22"/>
        </w:rPr>
        <w:t xml:space="preserve"> to ensure the international competitiveness of EU market participants</w:t>
      </w:r>
      <w:r w:rsidR="00BA13E1">
        <w:rPr>
          <w:rFonts w:ascii="Arial" w:hAnsi="Arial" w:cs="Arial"/>
          <w:sz w:val="22"/>
          <w:szCs w:val="22"/>
        </w:rPr>
        <w:t>.</w:t>
      </w:r>
      <w:r w:rsidR="00E722E6">
        <w:rPr>
          <w:rFonts w:ascii="Arial" w:hAnsi="Arial" w:cs="Arial"/>
          <w:sz w:val="22"/>
          <w:szCs w:val="22"/>
        </w:rPr>
        <w:t xml:space="preserve"> NFCs will want to take immediate advantage notwithstanding that they also will not be aware of the new clearing thresholds until as late as when the RTS </w:t>
      </w:r>
      <w:r w:rsidR="00E07974">
        <w:rPr>
          <w:rFonts w:ascii="Arial" w:hAnsi="Arial" w:cs="Arial"/>
          <w:sz w:val="22"/>
          <w:szCs w:val="22"/>
        </w:rPr>
        <w:t>is entered into the Official Journal</w:t>
      </w:r>
      <w:r w:rsidR="00E722E6">
        <w:rPr>
          <w:rFonts w:ascii="Arial" w:hAnsi="Arial" w:cs="Arial"/>
          <w:sz w:val="22"/>
          <w:szCs w:val="22"/>
        </w:rPr>
        <w:t xml:space="preserve">. We note in this respect that NFCs will only have one threshold to monitor </w:t>
      </w:r>
      <w:proofErr w:type="gramStart"/>
      <w:r w:rsidR="00E722E6">
        <w:rPr>
          <w:rFonts w:ascii="Arial" w:hAnsi="Arial" w:cs="Arial"/>
          <w:sz w:val="22"/>
          <w:szCs w:val="22"/>
        </w:rPr>
        <w:t>and also</w:t>
      </w:r>
      <w:proofErr w:type="gramEnd"/>
      <w:r w:rsidR="00E722E6">
        <w:rPr>
          <w:rFonts w:ascii="Arial" w:hAnsi="Arial" w:cs="Arial"/>
          <w:sz w:val="22"/>
          <w:szCs w:val="22"/>
        </w:rPr>
        <w:t xml:space="preserve"> that the number and reach of trading counterparties will likely be lower.</w:t>
      </w:r>
    </w:p>
    <w:p w14:paraId="07175005" w14:textId="77777777" w:rsidR="00D12DC5" w:rsidRDefault="00D12DC5" w:rsidP="00E07BCA">
      <w:pPr>
        <w:spacing w:after="0"/>
        <w:jc w:val="both"/>
        <w:rPr>
          <w:rFonts w:ascii="Arial" w:hAnsi="Arial" w:cs="Arial"/>
          <w:sz w:val="22"/>
          <w:szCs w:val="22"/>
        </w:rPr>
      </w:pPr>
    </w:p>
    <w:p w14:paraId="551C856A" w14:textId="149089E6" w:rsidR="003B66BF" w:rsidRDefault="00052A0D" w:rsidP="00E07BCA">
      <w:pPr>
        <w:spacing w:after="0"/>
        <w:jc w:val="both"/>
        <w:rPr>
          <w:rFonts w:ascii="Arial" w:hAnsi="Arial" w:cs="Arial"/>
          <w:sz w:val="22"/>
          <w:szCs w:val="22"/>
        </w:rPr>
      </w:pPr>
      <w:r>
        <w:rPr>
          <w:rFonts w:ascii="Arial" w:hAnsi="Arial" w:cs="Arial"/>
          <w:sz w:val="22"/>
          <w:szCs w:val="22"/>
        </w:rPr>
        <w:t xml:space="preserve">On this basis, we </w:t>
      </w:r>
      <w:r w:rsidR="00E12E2D">
        <w:rPr>
          <w:rFonts w:ascii="Arial" w:hAnsi="Arial" w:cs="Arial"/>
          <w:sz w:val="22"/>
          <w:szCs w:val="22"/>
        </w:rPr>
        <w:t xml:space="preserve">strongly </w:t>
      </w:r>
      <w:r>
        <w:rPr>
          <w:rFonts w:ascii="Arial" w:hAnsi="Arial" w:cs="Arial"/>
          <w:sz w:val="22"/>
          <w:szCs w:val="22"/>
        </w:rPr>
        <w:t>recommend that ESMA i</w:t>
      </w:r>
      <w:r w:rsidR="007634C9">
        <w:rPr>
          <w:rFonts w:ascii="Arial" w:hAnsi="Arial" w:cs="Arial"/>
          <w:sz w:val="22"/>
          <w:szCs w:val="22"/>
        </w:rPr>
        <w:t xml:space="preserve">ntroduce </w:t>
      </w:r>
      <w:r w:rsidR="000C4049">
        <w:rPr>
          <w:rFonts w:ascii="Arial" w:hAnsi="Arial" w:cs="Arial"/>
          <w:sz w:val="22"/>
          <w:szCs w:val="22"/>
        </w:rPr>
        <w:t>a</w:t>
      </w:r>
      <w:r w:rsidR="00E12E2D">
        <w:rPr>
          <w:rFonts w:ascii="Arial" w:hAnsi="Arial" w:cs="Arial"/>
          <w:sz w:val="22"/>
          <w:szCs w:val="22"/>
        </w:rPr>
        <w:t xml:space="preserve"> different implementation timeframe for FCs and NFCs. </w:t>
      </w:r>
      <w:r>
        <w:rPr>
          <w:rFonts w:ascii="Arial" w:hAnsi="Arial" w:cs="Arial"/>
          <w:sz w:val="22"/>
          <w:szCs w:val="22"/>
        </w:rPr>
        <w:t xml:space="preserve">FCs </w:t>
      </w:r>
      <w:r w:rsidR="00027EF9">
        <w:rPr>
          <w:rFonts w:ascii="Arial" w:hAnsi="Arial" w:cs="Arial"/>
          <w:sz w:val="22"/>
          <w:szCs w:val="22"/>
        </w:rPr>
        <w:t>should be</w:t>
      </w:r>
      <w:r>
        <w:rPr>
          <w:rFonts w:ascii="Arial" w:hAnsi="Arial" w:cs="Arial"/>
          <w:sz w:val="22"/>
          <w:szCs w:val="22"/>
        </w:rPr>
        <w:t xml:space="preserve"> </w:t>
      </w:r>
      <w:r w:rsidR="00110301">
        <w:rPr>
          <w:rFonts w:ascii="Arial" w:hAnsi="Arial" w:cs="Arial"/>
          <w:sz w:val="22"/>
          <w:szCs w:val="22"/>
        </w:rPr>
        <w:t>provided with a</w:t>
      </w:r>
      <w:r w:rsidR="000117CC">
        <w:rPr>
          <w:rFonts w:ascii="Arial" w:hAnsi="Arial" w:cs="Arial"/>
          <w:sz w:val="22"/>
          <w:szCs w:val="22"/>
        </w:rPr>
        <w:t xml:space="preserve"> set</w:t>
      </w:r>
      <w:r w:rsidR="00110301">
        <w:rPr>
          <w:rFonts w:ascii="Arial" w:hAnsi="Arial" w:cs="Arial"/>
          <w:sz w:val="22"/>
          <w:szCs w:val="22"/>
        </w:rPr>
        <w:t xml:space="preserve"> implementat</w:t>
      </w:r>
      <w:r w:rsidR="00D12DC5">
        <w:rPr>
          <w:rFonts w:ascii="Arial" w:hAnsi="Arial" w:cs="Arial"/>
          <w:sz w:val="22"/>
          <w:szCs w:val="22"/>
        </w:rPr>
        <w:t xml:space="preserve">ion </w:t>
      </w:r>
      <w:r w:rsidR="000117CC">
        <w:rPr>
          <w:rFonts w:ascii="Arial" w:hAnsi="Arial" w:cs="Arial"/>
          <w:sz w:val="22"/>
          <w:szCs w:val="22"/>
        </w:rPr>
        <w:t xml:space="preserve">date </w:t>
      </w:r>
      <w:r w:rsidR="00E12E2D">
        <w:rPr>
          <w:rFonts w:ascii="Arial" w:hAnsi="Arial" w:cs="Arial"/>
          <w:sz w:val="22"/>
          <w:szCs w:val="22"/>
        </w:rPr>
        <w:t>providing</w:t>
      </w:r>
      <w:r w:rsidR="00027EF9">
        <w:rPr>
          <w:rFonts w:ascii="Arial" w:hAnsi="Arial" w:cs="Arial"/>
          <w:sz w:val="22"/>
          <w:szCs w:val="22"/>
        </w:rPr>
        <w:t xml:space="preserve"> for a</w:t>
      </w:r>
      <w:r w:rsidR="000117CC">
        <w:rPr>
          <w:rFonts w:ascii="Arial" w:hAnsi="Arial" w:cs="Arial"/>
          <w:sz w:val="22"/>
          <w:szCs w:val="22"/>
        </w:rPr>
        <w:t xml:space="preserve"> sufficient </w:t>
      </w:r>
      <w:r w:rsidR="00691974">
        <w:rPr>
          <w:rFonts w:ascii="Arial" w:hAnsi="Arial" w:cs="Arial"/>
          <w:sz w:val="22"/>
          <w:szCs w:val="22"/>
        </w:rPr>
        <w:t xml:space="preserve">transitional </w:t>
      </w:r>
      <w:r w:rsidR="000117CC">
        <w:rPr>
          <w:rFonts w:ascii="Arial" w:hAnsi="Arial" w:cs="Arial"/>
          <w:sz w:val="22"/>
          <w:szCs w:val="22"/>
        </w:rPr>
        <w:t xml:space="preserve">period </w:t>
      </w:r>
      <w:r w:rsidR="0090469A">
        <w:rPr>
          <w:rFonts w:ascii="Arial" w:hAnsi="Arial" w:cs="Arial"/>
          <w:sz w:val="22"/>
          <w:szCs w:val="22"/>
        </w:rPr>
        <w:t>from</w:t>
      </w:r>
      <w:r w:rsidR="000117CC">
        <w:rPr>
          <w:rFonts w:ascii="Arial" w:hAnsi="Arial" w:cs="Arial"/>
          <w:sz w:val="22"/>
          <w:szCs w:val="22"/>
        </w:rPr>
        <w:t xml:space="preserve"> </w:t>
      </w:r>
      <w:r w:rsidR="00691974">
        <w:rPr>
          <w:rFonts w:ascii="Arial" w:hAnsi="Arial" w:cs="Arial"/>
          <w:sz w:val="22"/>
          <w:szCs w:val="22"/>
        </w:rPr>
        <w:t>entry into force of the RTS to allow FCs to make the necessary operational changes to compute calculations in respect of the updated thresholds</w:t>
      </w:r>
      <w:r w:rsidR="00E12E2D">
        <w:rPr>
          <w:rFonts w:ascii="Arial" w:hAnsi="Arial" w:cs="Arial"/>
          <w:sz w:val="22"/>
          <w:szCs w:val="22"/>
        </w:rPr>
        <w:t xml:space="preserve"> and</w:t>
      </w:r>
      <w:r w:rsidR="00691974">
        <w:rPr>
          <w:rFonts w:ascii="Arial" w:hAnsi="Arial" w:cs="Arial"/>
          <w:sz w:val="22"/>
          <w:szCs w:val="22"/>
        </w:rPr>
        <w:t xml:space="preserve"> calculation methodology.</w:t>
      </w:r>
      <w:r w:rsidR="000117CC">
        <w:rPr>
          <w:rFonts w:ascii="Arial" w:hAnsi="Arial" w:cs="Arial"/>
          <w:sz w:val="22"/>
          <w:szCs w:val="22"/>
        </w:rPr>
        <w:t xml:space="preserve"> </w:t>
      </w:r>
      <w:r w:rsidR="00027EF9">
        <w:rPr>
          <w:rFonts w:ascii="Arial" w:hAnsi="Arial" w:cs="Arial"/>
          <w:sz w:val="22"/>
          <w:szCs w:val="22"/>
        </w:rPr>
        <w:t xml:space="preserve">On the other hand, NFCs should be given the </w:t>
      </w:r>
      <w:r w:rsidR="003B66BF">
        <w:rPr>
          <w:rFonts w:ascii="Arial" w:hAnsi="Arial" w:cs="Arial"/>
          <w:sz w:val="22"/>
          <w:szCs w:val="22"/>
        </w:rPr>
        <w:t>choice</w:t>
      </w:r>
      <w:r w:rsidR="00027EF9">
        <w:rPr>
          <w:rFonts w:ascii="Arial" w:hAnsi="Arial" w:cs="Arial"/>
          <w:sz w:val="22"/>
          <w:szCs w:val="22"/>
        </w:rPr>
        <w:t xml:space="preserve"> </w:t>
      </w:r>
      <w:r w:rsidR="00F7299E">
        <w:rPr>
          <w:rFonts w:ascii="Arial" w:hAnsi="Arial" w:cs="Arial"/>
          <w:sz w:val="22"/>
          <w:szCs w:val="22"/>
        </w:rPr>
        <w:t xml:space="preserve">immediately </w:t>
      </w:r>
      <w:r w:rsidR="00027EF9">
        <w:rPr>
          <w:rFonts w:ascii="Arial" w:hAnsi="Arial" w:cs="Arial"/>
          <w:sz w:val="22"/>
          <w:szCs w:val="22"/>
        </w:rPr>
        <w:t>to</w:t>
      </w:r>
      <w:r w:rsidR="003B66BF">
        <w:rPr>
          <w:rFonts w:ascii="Arial" w:hAnsi="Arial" w:cs="Arial"/>
          <w:sz w:val="22"/>
          <w:szCs w:val="22"/>
        </w:rPr>
        <w:t xml:space="preserve"> </w:t>
      </w:r>
      <w:r w:rsidR="00027EF9">
        <w:rPr>
          <w:rFonts w:ascii="Arial" w:hAnsi="Arial" w:cs="Arial"/>
          <w:sz w:val="22"/>
          <w:szCs w:val="22"/>
        </w:rPr>
        <w:t xml:space="preserve">apply the </w:t>
      </w:r>
      <w:r w:rsidR="003B66BF">
        <w:rPr>
          <w:rFonts w:ascii="Arial" w:hAnsi="Arial" w:cs="Arial"/>
          <w:sz w:val="22"/>
          <w:szCs w:val="22"/>
        </w:rPr>
        <w:t xml:space="preserve">new </w:t>
      </w:r>
      <w:r w:rsidR="00027EF9">
        <w:rPr>
          <w:rFonts w:ascii="Arial" w:hAnsi="Arial" w:cs="Arial"/>
          <w:sz w:val="22"/>
          <w:szCs w:val="22"/>
        </w:rPr>
        <w:t xml:space="preserve">methodology </w:t>
      </w:r>
      <w:r w:rsidR="003B66BF">
        <w:rPr>
          <w:rFonts w:ascii="Arial" w:hAnsi="Arial" w:cs="Arial"/>
          <w:sz w:val="22"/>
          <w:szCs w:val="22"/>
        </w:rPr>
        <w:t>upon</w:t>
      </w:r>
      <w:r w:rsidR="00027EF9">
        <w:rPr>
          <w:rFonts w:ascii="Arial" w:hAnsi="Arial" w:cs="Arial"/>
          <w:sz w:val="22"/>
          <w:szCs w:val="22"/>
        </w:rPr>
        <w:t xml:space="preserve"> the RTS </w:t>
      </w:r>
      <w:r w:rsidR="003B66BF">
        <w:rPr>
          <w:rFonts w:ascii="Arial" w:hAnsi="Arial" w:cs="Arial"/>
          <w:sz w:val="22"/>
          <w:szCs w:val="22"/>
        </w:rPr>
        <w:t>entering</w:t>
      </w:r>
      <w:r w:rsidR="00027EF9">
        <w:rPr>
          <w:rFonts w:ascii="Arial" w:hAnsi="Arial" w:cs="Arial"/>
          <w:sz w:val="22"/>
          <w:szCs w:val="22"/>
        </w:rPr>
        <w:t xml:space="preserve"> into force</w:t>
      </w:r>
      <w:r w:rsidR="003B66BF">
        <w:rPr>
          <w:rFonts w:ascii="Arial" w:hAnsi="Arial" w:cs="Arial"/>
          <w:sz w:val="22"/>
          <w:szCs w:val="22"/>
        </w:rPr>
        <w:t xml:space="preserve"> with a back-stop date by which all NFCs </w:t>
      </w:r>
      <w:r w:rsidR="00D65DB4">
        <w:rPr>
          <w:rFonts w:ascii="Arial" w:hAnsi="Arial" w:cs="Arial"/>
          <w:sz w:val="22"/>
          <w:szCs w:val="22"/>
        </w:rPr>
        <w:t xml:space="preserve">must comply which </w:t>
      </w:r>
      <w:r w:rsidR="003B66BF">
        <w:rPr>
          <w:rFonts w:ascii="Arial" w:hAnsi="Arial" w:cs="Arial"/>
          <w:sz w:val="22"/>
          <w:szCs w:val="22"/>
        </w:rPr>
        <w:t>align</w:t>
      </w:r>
      <w:r w:rsidR="00D65DB4">
        <w:rPr>
          <w:rFonts w:ascii="Arial" w:hAnsi="Arial" w:cs="Arial"/>
          <w:sz w:val="22"/>
          <w:szCs w:val="22"/>
        </w:rPr>
        <w:t>s</w:t>
      </w:r>
      <w:r w:rsidR="003B66BF">
        <w:rPr>
          <w:rFonts w:ascii="Arial" w:hAnsi="Arial" w:cs="Arial"/>
          <w:sz w:val="22"/>
          <w:szCs w:val="22"/>
        </w:rPr>
        <w:t xml:space="preserve"> with the implementation date for FCs.</w:t>
      </w:r>
      <w:r w:rsidR="00E12E2D">
        <w:rPr>
          <w:rFonts w:ascii="Arial" w:hAnsi="Arial" w:cs="Arial"/>
          <w:sz w:val="22"/>
          <w:szCs w:val="22"/>
        </w:rPr>
        <w:t xml:space="preserve"> We note that this optionality will benefit certain smaller NFC entities who may need additional time to implement the updated calculation methodology correctl</w:t>
      </w:r>
      <w:r w:rsidR="00713D7A">
        <w:rPr>
          <w:rFonts w:ascii="Arial" w:hAnsi="Arial" w:cs="Arial"/>
          <w:sz w:val="22"/>
          <w:szCs w:val="22"/>
        </w:rPr>
        <w:t xml:space="preserve">y. This "phase-in" period will provide the necessary flexibility for these entities while </w:t>
      </w:r>
      <w:r w:rsidR="003E2C13">
        <w:rPr>
          <w:rFonts w:ascii="Arial" w:hAnsi="Arial" w:cs="Arial"/>
          <w:sz w:val="22"/>
          <w:szCs w:val="22"/>
        </w:rPr>
        <w:t xml:space="preserve">not disadvantaging the rest of the NFC community who are understandably keen to transition to the new methodology as soon as possible. </w:t>
      </w:r>
    </w:p>
    <w:p w14:paraId="02B99803" w14:textId="77777777" w:rsidR="003E2C13" w:rsidRDefault="003E2C13" w:rsidP="00E07BCA">
      <w:pPr>
        <w:spacing w:after="0"/>
        <w:jc w:val="both"/>
        <w:rPr>
          <w:rFonts w:ascii="Arial" w:hAnsi="Arial" w:cs="Arial"/>
          <w:sz w:val="22"/>
          <w:szCs w:val="22"/>
        </w:rPr>
      </w:pPr>
    </w:p>
    <w:p w14:paraId="18CEAFBC" w14:textId="19F33949" w:rsidR="0090469A" w:rsidRDefault="003E2C13" w:rsidP="00E07BCA">
      <w:pPr>
        <w:spacing w:after="0"/>
        <w:jc w:val="both"/>
        <w:rPr>
          <w:rFonts w:ascii="Arial" w:hAnsi="Arial" w:cs="Arial"/>
          <w:sz w:val="22"/>
          <w:szCs w:val="22"/>
        </w:rPr>
      </w:pPr>
      <w:r>
        <w:rPr>
          <w:rFonts w:ascii="Arial" w:hAnsi="Arial" w:cs="Arial"/>
          <w:sz w:val="22"/>
          <w:szCs w:val="22"/>
        </w:rPr>
        <w:t>W</w:t>
      </w:r>
      <w:r w:rsidR="003B66BF">
        <w:rPr>
          <w:rFonts w:ascii="Arial" w:hAnsi="Arial" w:cs="Arial"/>
          <w:sz w:val="22"/>
          <w:szCs w:val="22"/>
        </w:rPr>
        <w:t xml:space="preserve">e have suggested the following </w:t>
      </w:r>
      <w:r w:rsidR="0090469A">
        <w:rPr>
          <w:rFonts w:ascii="Arial" w:hAnsi="Arial" w:cs="Arial"/>
          <w:sz w:val="22"/>
          <w:szCs w:val="22"/>
        </w:rPr>
        <w:t>drafting amendment to Article 2 of the proposed RTS</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implement our above proposal</w:t>
      </w:r>
      <w:r w:rsidR="0090469A">
        <w:rPr>
          <w:rFonts w:ascii="Arial" w:hAnsi="Arial" w:cs="Arial"/>
          <w:sz w:val="22"/>
          <w:szCs w:val="22"/>
        </w:rPr>
        <w:t>:</w:t>
      </w:r>
    </w:p>
    <w:p w14:paraId="083DFAA3" w14:textId="77777777" w:rsidR="0090469A" w:rsidRDefault="0090469A" w:rsidP="00E07BCA">
      <w:pPr>
        <w:spacing w:after="0"/>
        <w:jc w:val="both"/>
        <w:rPr>
          <w:rFonts w:ascii="Arial" w:hAnsi="Arial" w:cs="Arial"/>
          <w:sz w:val="22"/>
          <w:szCs w:val="22"/>
        </w:rPr>
      </w:pPr>
    </w:p>
    <w:p w14:paraId="67112B63" w14:textId="77777777" w:rsidR="0090469A" w:rsidRPr="000F7F02" w:rsidRDefault="0090469A" w:rsidP="0090469A">
      <w:pPr>
        <w:spacing w:after="0"/>
        <w:jc w:val="both"/>
        <w:rPr>
          <w:rFonts w:ascii="Arial" w:hAnsi="Arial" w:cs="Arial"/>
          <w:i/>
          <w:iCs/>
          <w:sz w:val="22"/>
          <w:szCs w:val="22"/>
        </w:rPr>
      </w:pPr>
      <w:r w:rsidRPr="000F7F02">
        <w:rPr>
          <w:rFonts w:ascii="Arial" w:hAnsi="Arial" w:cs="Arial"/>
          <w:b/>
          <w:bCs/>
          <w:i/>
          <w:iCs/>
          <w:sz w:val="22"/>
          <w:szCs w:val="22"/>
        </w:rPr>
        <w:t>Article 2</w:t>
      </w:r>
    </w:p>
    <w:p w14:paraId="18BA6D27" w14:textId="77777777" w:rsidR="0090469A" w:rsidRPr="000F7F02" w:rsidRDefault="0090469A" w:rsidP="0090469A">
      <w:pPr>
        <w:spacing w:after="0"/>
        <w:jc w:val="both"/>
        <w:rPr>
          <w:rFonts w:ascii="Arial" w:hAnsi="Arial" w:cs="Arial"/>
          <w:b/>
          <w:bCs/>
          <w:i/>
          <w:iCs/>
          <w:sz w:val="22"/>
          <w:szCs w:val="22"/>
        </w:rPr>
      </w:pPr>
      <w:r w:rsidRPr="000F7F02">
        <w:rPr>
          <w:rFonts w:ascii="Arial" w:hAnsi="Arial" w:cs="Arial"/>
          <w:b/>
          <w:bCs/>
          <w:i/>
          <w:iCs/>
          <w:sz w:val="22"/>
          <w:szCs w:val="22"/>
        </w:rPr>
        <w:t>Entry into force and application</w:t>
      </w:r>
    </w:p>
    <w:p w14:paraId="6FA0D604" w14:textId="77777777" w:rsidR="0090469A" w:rsidRPr="000F7F02" w:rsidRDefault="0090469A" w:rsidP="0090469A">
      <w:pPr>
        <w:spacing w:after="0"/>
        <w:jc w:val="both"/>
        <w:rPr>
          <w:rFonts w:ascii="Arial" w:hAnsi="Arial" w:cs="Arial"/>
          <w:i/>
          <w:iCs/>
          <w:sz w:val="22"/>
          <w:szCs w:val="22"/>
        </w:rPr>
      </w:pPr>
    </w:p>
    <w:p w14:paraId="42FA3222" w14:textId="77777777" w:rsidR="0090469A" w:rsidRPr="000F7F02" w:rsidRDefault="0090469A" w:rsidP="0090469A">
      <w:pPr>
        <w:spacing w:after="0"/>
        <w:jc w:val="both"/>
        <w:rPr>
          <w:rFonts w:ascii="Arial" w:hAnsi="Arial" w:cs="Arial"/>
          <w:i/>
          <w:iCs/>
          <w:sz w:val="22"/>
          <w:szCs w:val="22"/>
        </w:rPr>
      </w:pPr>
      <w:r w:rsidRPr="000F7F02">
        <w:rPr>
          <w:rFonts w:ascii="Arial" w:hAnsi="Arial" w:cs="Arial"/>
          <w:i/>
          <w:iCs/>
          <w:sz w:val="22"/>
          <w:szCs w:val="22"/>
        </w:rPr>
        <w:t>This Regulation shall enter into force on the twentieth day following that of its publication in the Official Journal of the European Union.</w:t>
      </w:r>
    </w:p>
    <w:p w14:paraId="13620856" w14:textId="77777777" w:rsidR="0090469A" w:rsidRPr="000F7F02" w:rsidRDefault="0090469A" w:rsidP="0090469A">
      <w:pPr>
        <w:spacing w:after="0"/>
        <w:jc w:val="both"/>
        <w:rPr>
          <w:rFonts w:ascii="Arial" w:hAnsi="Arial" w:cs="Arial"/>
          <w:i/>
          <w:iCs/>
          <w:sz w:val="22"/>
          <w:szCs w:val="22"/>
        </w:rPr>
      </w:pPr>
      <w:r w:rsidRPr="000F7F02">
        <w:rPr>
          <w:rFonts w:ascii="Arial" w:hAnsi="Arial" w:cs="Arial"/>
          <w:i/>
          <w:iCs/>
          <w:sz w:val="22"/>
          <w:szCs w:val="22"/>
        </w:rPr>
        <w:t> </w:t>
      </w:r>
    </w:p>
    <w:p w14:paraId="02092A85" w14:textId="0B6F9D87" w:rsidR="00BC79DC" w:rsidRDefault="0090469A" w:rsidP="00E07BCA">
      <w:pPr>
        <w:spacing w:after="0"/>
        <w:jc w:val="both"/>
        <w:rPr>
          <w:rFonts w:ascii="Arial" w:hAnsi="Arial" w:cs="Arial"/>
          <w:i/>
          <w:iCs/>
          <w:sz w:val="22"/>
          <w:szCs w:val="22"/>
        </w:rPr>
      </w:pPr>
      <w:r w:rsidRPr="000F7F02">
        <w:rPr>
          <w:rFonts w:ascii="Arial" w:hAnsi="Arial" w:cs="Arial"/>
          <w:b/>
          <w:bCs/>
          <w:i/>
          <w:iCs/>
          <w:sz w:val="22"/>
          <w:szCs w:val="22"/>
          <w:u w:val="single"/>
        </w:rPr>
        <w:t xml:space="preserve">It shall apply from </w:t>
      </w:r>
      <w:r w:rsidR="007A5235">
        <w:rPr>
          <w:rFonts w:ascii="Arial" w:hAnsi="Arial" w:cs="Arial"/>
          <w:b/>
          <w:bCs/>
          <w:i/>
          <w:iCs/>
          <w:sz w:val="22"/>
          <w:szCs w:val="22"/>
          <w:u w:val="single"/>
        </w:rPr>
        <w:t>17</w:t>
      </w:r>
      <w:r w:rsidR="00892049">
        <w:rPr>
          <w:rFonts w:ascii="Arial" w:hAnsi="Arial" w:cs="Arial"/>
          <w:b/>
          <w:bCs/>
          <w:i/>
          <w:iCs/>
          <w:sz w:val="22"/>
          <w:szCs w:val="22"/>
          <w:u w:val="single"/>
        </w:rPr>
        <w:t xml:space="preserve"> June 2026</w:t>
      </w:r>
      <w:r w:rsidRPr="000F7F02">
        <w:rPr>
          <w:rFonts w:ascii="Arial" w:hAnsi="Arial" w:cs="Arial"/>
          <w:b/>
          <w:bCs/>
          <w:i/>
          <w:iCs/>
          <w:sz w:val="22"/>
          <w:szCs w:val="22"/>
          <w:u w:val="single"/>
        </w:rPr>
        <w:t>,</w:t>
      </w:r>
      <w:r w:rsidR="00E56F3D">
        <w:rPr>
          <w:rFonts w:ascii="Arial" w:hAnsi="Arial" w:cs="Arial"/>
          <w:b/>
          <w:bCs/>
          <w:i/>
          <w:iCs/>
          <w:sz w:val="22"/>
          <w:szCs w:val="22"/>
          <w:u w:val="single"/>
        </w:rPr>
        <w:t xml:space="preserve"> from which date counterparties are to begin calculating their aggregate month-end average positions in accordance with</w:t>
      </w:r>
      <w:r w:rsidR="004D6049">
        <w:rPr>
          <w:rFonts w:ascii="Arial" w:hAnsi="Arial" w:cs="Arial"/>
          <w:b/>
          <w:bCs/>
          <w:i/>
          <w:iCs/>
          <w:sz w:val="22"/>
          <w:szCs w:val="22"/>
          <w:u w:val="single"/>
        </w:rPr>
        <w:t xml:space="preserve"> this Regulation</w:t>
      </w:r>
      <w:r w:rsidRPr="000F7F02">
        <w:rPr>
          <w:rFonts w:ascii="Arial" w:hAnsi="Arial" w:cs="Arial"/>
          <w:b/>
          <w:bCs/>
          <w:i/>
          <w:iCs/>
          <w:sz w:val="22"/>
          <w:szCs w:val="22"/>
          <w:u w:val="single"/>
        </w:rPr>
        <w:t xml:space="preserve"> </w:t>
      </w:r>
      <w:r w:rsidR="00442F43">
        <w:rPr>
          <w:rFonts w:ascii="Arial" w:hAnsi="Arial" w:cs="Arial"/>
          <w:b/>
          <w:bCs/>
          <w:i/>
          <w:iCs/>
          <w:sz w:val="22"/>
          <w:szCs w:val="22"/>
          <w:u w:val="single"/>
        </w:rPr>
        <w:t xml:space="preserve">in order to apply these positions on 17 June 2027 retrospectively, </w:t>
      </w:r>
      <w:r w:rsidR="00E56F3D">
        <w:rPr>
          <w:rFonts w:ascii="Arial" w:hAnsi="Arial" w:cs="Arial"/>
          <w:b/>
          <w:bCs/>
          <w:i/>
          <w:iCs/>
          <w:sz w:val="22"/>
          <w:szCs w:val="22"/>
          <w:u w:val="single"/>
        </w:rPr>
        <w:t>with the exception of</w:t>
      </w:r>
      <w:r w:rsidRPr="000F7F02">
        <w:rPr>
          <w:rFonts w:ascii="Arial" w:hAnsi="Arial" w:cs="Arial"/>
          <w:b/>
          <w:bCs/>
          <w:i/>
          <w:iCs/>
          <w:sz w:val="22"/>
          <w:szCs w:val="22"/>
          <w:u w:val="single"/>
        </w:rPr>
        <w:t xml:space="preserve"> counterparties </w:t>
      </w:r>
      <w:r w:rsidR="004D6049">
        <w:rPr>
          <w:rFonts w:ascii="Arial" w:hAnsi="Arial" w:cs="Arial"/>
          <w:b/>
          <w:bCs/>
          <w:i/>
          <w:iCs/>
          <w:sz w:val="22"/>
          <w:szCs w:val="22"/>
          <w:u w:val="single"/>
        </w:rPr>
        <w:t>identified</w:t>
      </w:r>
      <w:r w:rsidR="00E56F3D">
        <w:rPr>
          <w:rFonts w:ascii="Arial" w:hAnsi="Arial" w:cs="Arial"/>
          <w:b/>
          <w:bCs/>
          <w:i/>
          <w:iCs/>
          <w:sz w:val="22"/>
          <w:szCs w:val="22"/>
          <w:u w:val="single"/>
        </w:rPr>
        <w:t xml:space="preserve"> in</w:t>
      </w:r>
      <w:r w:rsidRPr="000F7F02">
        <w:rPr>
          <w:rFonts w:ascii="Arial" w:hAnsi="Arial" w:cs="Arial"/>
          <w:b/>
          <w:bCs/>
          <w:i/>
          <w:iCs/>
          <w:sz w:val="22"/>
          <w:szCs w:val="22"/>
          <w:u w:val="single"/>
        </w:rPr>
        <w:t xml:space="preserve"> Article 10(1) of Regulation (EU) No 648/2012, who may </w:t>
      </w:r>
      <w:r w:rsidR="00E56F3D">
        <w:rPr>
          <w:rFonts w:ascii="Arial" w:hAnsi="Arial" w:cs="Arial"/>
          <w:b/>
          <w:bCs/>
          <w:i/>
          <w:iCs/>
          <w:sz w:val="22"/>
          <w:szCs w:val="22"/>
          <w:u w:val="single"/>
        </w:rPr>
        <w:t>elect</w:t>
      </w:r>
      <w:r w:rsidRPr="000F7F02">
        <w:rPr>
          <w:rFonts w:ascii="Arial" w:hAnsi="Arial" w:cs="Arial"/>
          <w:b/>
          <w:bCs/>
          <w:i/>
          <w:iCs/>
          <w:sz w:val="22"/>
          <w:szCs w:val="22"/>
          <w:u w:val="single"/>
        </w:rPr>
        <w:t xml:space="preserve"> to </w:t>
      </w:r>
      <w:r w:rsidR="00E56F3D">
        <w:rPr>
          <w:rFonts w:ascii="Arial" w:hAnsi="Arial" w:cs="Arial"/>
          <w:b/>
          <w:bCs/>
          <w:i/>
          <w:iCs/>
          <w:sz w:val="22"/>
          <w:szCs w:val="22"/>
          <w:u w:val="single"/>
        </w:rPr>
        <w:t xml:space="preserve">adhere to this Regulation </w:t>
      </w:r>
      <w:r w:rsidR="007A5235">
        <w:rPr>
          <w:rFonts w:ascii="Arial" w:hAnsi="Arial" w:cs="Arial"/>
          <w:b/>
          <w:bCs/>
          <w:i/>
          <w:iCs/>
          <w:sz w:val="22"/>
          <w:szCs w:val="22"/>
          <w:u w:val="single"/>
        </w:rPr>
        <w:t xml:space="preserve">at any time </w:t>
      </w:r>
      <w:r w:rsidR="00E56F3D">
        <w:rPr>
          <w:rFonts w:ascii="Arial" w:hAnsi="Arial" w:cs="Arial"/>
          <w:b/>
          <w:bCs/>
          <w:i/>
          <w:iCs/>
          <w:sz w:val="22"/>
          <w:szCs w:val="22"/>
          <w:u w:val="single"/>
        </w:rPr>
        <w:t xml:space="preserve">until </w:t>
      </w:r>
      <w:r w:rsidR="007A5235">
        <w:rPr>
          <w:rFonts w:ascii="Arial" w:hAnsi="Arial" w:cs="Arial"/>
          <w:b/>
          <w:bCs/>
          <w:i/>
          <w:iCs/>
          <w:sz w:val="22"/>
          <w:szCs w:val="22"/>
          <w:u w:val="single"/>
        </w:rPr>
        <w:t>17 June 20</w:t>
      </w:r>
      <w:r w:rsidR="00DC789E">
        <w:rPr>
          <w:rFonts w:ascii="Arial" w:hAnsi="Arial" w:cs="Arial"/>
          <w:b/>
          <w:bCs/>
          <w:i/>
          <w:iCs/>
          <w:sz w:val="22"/>
          <w:szCs w:val="22"/>
          <w:u w:val="single"/>
        </w:rPr>
        <w:t>26</w:t>
      </w:r>
      <w:r w:rsidRPr="000F7F02">
        <w:rPr>
          <w:rFonts w:ascii="Arial" w:hAnsi="Arial" w:cs="Arial"/>
          <w:b/>
          <w:bCs/>
          <w:i/>
          <w:iCs/>
          <w:sz w:val="22"/>
          <w:szCs w:val="22"/>
          <w:u w:val="single"/>
        </w:rPr>
        <w:t>.</w:t>
      </w:r>
      <w:r w:rsidR="003B66BF" w:rsidRPr="000F7F02">
        <w:rPr>
          <w:rFonts w:ascii="Arial" w:hAnsi="Arial" w:cs="Arial"/>
          <w:i/>
          <w:iCs/>
          <w:sz w:val="22"/>
          <w:szCs w:val="22"/>
        </w:rPr>
        <w:t xml:space="preserve"> </w:t>
      </w:r>
      <w:r w:rsidR="00027EF9" w:rsidRPr="000F7F02">
        <w:rPr>
          <w:rFonts w:ascii="Arial" w:hAnsi="Arial" w:cs="Arial"/>
          <w:i/>
          <w:iCs/>
          <w:sz w:val="22"/>
          <w:szCs w:val="22"/>
        </w:rPr>
        <w:t xml:space="preserve"> </w:t>
      </w:r>
    </w:p>
    <w:p w14:paraId="30370EE3" w14:textId="77777777" w:rsidR="0004596F" w:rsidRDefault="0004596F" w:rsidP="00E07BCA">
      <w:pPr>
        <w:spacing w:after="0"/>
        <w:jc w:val="both"/>
        <w:rPr>
          <w:rFonts w:ascii="Arial" w:hAnsi="Arial" w:cs="Arial"/>
          <w:i/>
          <w:iCs/>
          <w:sz w:val="22"/>
          <w:szCs w:val="22"/>
        </w:rPr>
      </w:pPr>
    </w:p>
    <w:p w14:paraId="607B3ED6" w14:textId="11F9794B" w:rsidR="0004596F" w:rsidRPr="000F7F02" w:rsidRDefault="0004596F" w:rsidP="00E07BCA">
      <w:pPr>
        <w:spacing w:after="0"/>
        <w:jc w:val="both"/>
        <w:rPr>
          <w:rFonts w:ascii="Arial" w:hAnsi="Arial" w:cs="Arial"/>
          <w:i/>
          <w:iCs/>
          <w:sz w:val="22"/>
          <w:szCs w:val="22"/>
        </w:rPr>
      </w:pPr>
      <w:r>
        <w:rPr>
          <w:rFonts w:ascii="Arial" w:hAnsi="Arial" w:cs="Arial"/>
          <w:sz w:val="22"/>
          <w:szCs w:val="22"/>
        </w:rPr>
        <w:t xml:space="preserve">In consideration of the above, we note the guidance in OTC Answers 4 and 13 of the OTC Q&amp;A with regards to obtaining representations as to counterparty status, which market participants generally follow. In the absence of guidance to the contrary, it will be difficult for parties to refresh these representations on entry into force of the RTS. We would therefore encourage ESMA to produce updated or interim guidance confirming that parties may continue to rely on existing representations unless and until they are notified by their counterparty that </w:t>
      </w:r>
      <w:r>
        <w:rPr>
          <w:rFonts w:ascii="Arial" w:hAnsi="Arial" w:cs="Arial"/>
          <w:sz w:val="22"/>
          <w:szCs w:val="22"/>
        </w:rPr>
        <w:lastRenderedPageBreak/>
        <w:t>these representations are no longer correct. As noted by ESMA in the consultation paper and as mandated by Recital 9 of EMIR 3.0 (see paragraphs 31</w:t>
      </w:r>
      <w:r w:rsidR="00621521">
        <w:rPr>
          <w:rFonts w:ascii="Arial" w:hAnsi="Arial" w:cs="Arial"/>
          <w:sz w:val="22"/>
          <w:szCs w:val="22"/>
        </w:rPr>
        <w:t xml:space="preserve"> </w:t>
      </w:r>
      <w:r>
        <w:rPr>
          <w:rFonts w:ascii="Arial" w:hAnsi="Arial" w:cs="Arial"/>
          <w:sz w:val="22"/>
          <w:szCs w:val="22"/>
        </w:rPr>
        <w:t>and 5</w:t>
      </w:r>
      <w:r w:rsidR="00621521">
        <w:rPr>
          <w:rFonts w:ascii="Arial" w:hAnsi="Arial" w:cs="Arial"/>
          <w:sz w:val="22"/>
          <w:szCs w:val="22"/>
        </w:rPr>
        <w:t>8</w:t>
      </w:r>
      <w:r>
        <w:rPr>
          <w:rFonts w:ascii="Arial" w:hAnsi="Arial" w:cs="Arial"/>
          <w:sz w:val="22"/>
          <w:szCs w:val="22"/>
        </w:rPr>
        <w:t xml:space="preserve"> of the consultation paper), the changes to the clearing thresholds are not expected to lead to substantial changes. On this basis, we would hope that ESMA would be happy for counterparties to take the benefit of existing representations.</w:t>
      </w:r>
    </w:p>
    <w:p w14:paraId="3E08DAD9" w14:textId="77777777" w:rsidR="002842B7" w:rsidRDefault="002842B7" w:rsidP="00E07BCA">
      <w:pPr>
        <w:spacing w:after="0"/>
        <w:jc w:val="both"/>
        <w:rPr>
          <w:rFonts w:ascii="Arial" w:hAnsi="Arial" w:cs="Arial"/>
          <w:sz w:val="22"/>
          <w:szCs w:val="22"/>
        </w:rPr>
      </w:pPr>
    </w:p>
    <w:p w14:paraId="2939655E" w14:textId="7C62F3B4" w:rsidR="00BA137F" w:rsidRPr="00D67CE4" w:rsidRDefault="00BA137F" w:rsidP="00E92500">
      <w:pPr>
        <w:jc w:val="both"/>
        <w:rPr>
          <w:rFonts w:ascii="Arial" w:hAnsi="Arial" w:cs="Arial"/>
          <w:b/>
          <w:bCs/>
          <w:sz w:val="22"/>
          <w:szCs w:val="22"/>
        </w:rPr>
      </w:pPr>
      <w:r w:rsidRPr="00D67CE4">
        <w:rPr>
          <w:rFonts w:ascii="Arial" w:hAnsi="Arial" w:cs="Arial"/>
          <w:b/>
          <w:bCs/>
          <w:sz w:val="22"/>
          <w:szCs w:val="22"/>
        </w:rPr>
        <w:t xml:space="preserve">Question 2:  </w:t>
      </w:r>
      <w:r w:rsidR="00E92500" w:rsidRPr="00E92500">
        <w:rPr>
          <w:rFonts w:ascii="Arial" w:hAnsi="Arial" w:cs="Arial"/>
          <w:b/>
          <w:bCs/>
          <w:sz w:val="22"/>
          <w:szCs w:val="22"/>
        </w:rPr>
        <w:t>Do you agree with ESMA’s proposal to maintain the aggregate thresholds at the</w:t>
      </w:r>
      <w:r w:rsidR="00E92500">
        <w:rPr>
          <w:rFonts w:ascii="Arial" w:hAnsi="Arial" w:cs="Arial"/>
          <w:b/>
          <w:bCs/>
          <w:sz w:val="22"/>
          <w:szCs w:val="22"/>
        </w:rPr>
        <w:t xml:space="preserve"> </w:t>
      </w:r>
      <w:r w:rsidR="00E92500" w:rsidRPr="00E92500">
        <w:rPr>
          <w:rFonts w:ascii="Arial" w:hAnsi="Arial" w:cs="Arial"/>
          <w:b/>
          <w:bCs/>
          <w:sz w:val="22"/>
          <w:szCs w:val="22"/>
        </w:rPr>
        <w:t>current level i.e. 3 billion EUR for IRDs and 1 billion EUR for credit derivatives? If not,</w:t>
      </w:r>
      <w:r w:rsidR="00E92500">
        <w:rPr>
          <w:rFonts w:ascii="Arial" w:hAnsi="Arial" w:cs="Arial"/>
          <w:b/>
          <w:bCs/>
          <w:sz w:val="22"/>
          <w:szCs w:val="22"/>
        </w:rPr>
        <w:t xml:space="preserve"> </w:t>
      </w:r>
      <w:r w:rsidR="00E92500" w:rsidRPr="00E92500">
        <w:rPr>
          <w:rFonts w:ascii="Arial" w:hAnsi="Arial" w:cs="Arial"/>
          <w:b/>
          <w:bCs/>
          <w:sz w:val="22"/>
          <w:szCs w:val="22"/>
        </w:rPr>
        <w:t>please elaborate.</w:t>
      </w:r>
    </w:p>
    <w:p w14:paraId="0C5908D8" w14:textId="62BFFD21" w:rsidR="00482D56" w:rsidRDefault="0065425C" w:rsidP="00E92500">
      <w:pPr>
        <w:jc w:val="both"/>
        <w:rPr>
          <w:rFonts w:ascii="Arial" w:hAnsi="Arial" w:cs="Arial"/>
          <w:sz w:val="22"/>
          <w:szCs w:val="22"/>
        </w:rPr>
      </w:pPr>
      <w:r>
        <w:rPr>
          <w:rFonts w:ascii="Arial" w:hAnsi="Arial" w:cs="Arial"/>
          <w:sz w:val="22"/>
          <w:szCs w:val="22"/>
        </w:rPr>
        <w:t xml:space="preserve">Please see our response to Question </w:t>
      </w:r>
      <w:r w:rsidR="004B6F8C">
        <w:rPr>
          <w:rFonts w:ascii="Arial" w:hAnsi="Arial" w:cs="Arial"/>
          <w:sz w:val="22"/>
          <w:szCs w:val="22"/>
        </w:rPr>
        <w:t>1</w:t>
      </w:r>
      <w:r w:rsidR="00270EE1">
        <w:rPr>
          <w:rFonts w:ascii="Arial" w:hAnsi="Arial" w:cs="Arial"/>
          <w:sz w:val="22"/>
          <w:szCs w:val="22"/>
        </w:rPr>
        <w:t>. W</w:t>
      </w:r>
      <w:r w:rsidR="004B6F8C">
        <w:rPr>
          <w:rFonts w:ascii="Arial" w:hAnsi="Arial" w:cs="Arial"/>
          <w:sz w:val="22"/>
          <w:szCs w:val="22"/>
        </w:rPr>
        <w:t>e agr</w:t>
      </w:r>
      <w:r w:rsidR="00EE2FA0">
        <w:rPr>
          <w:rFonts w:ascii="Arial" w:hAnsi="Arial" w:cs="Arial"/>
          <w:sz w:val="22"/>
          <w:szCs w:val="22"/>
        </w:rPr>
        <w:t>ee with ESMA's proposal</w:t>
      </w:r>
      <w:r w:rsidR="00254948">
        <w:rPr>
          <w:rFonts w:ascii="Arial" w:hAnsi="Arial" w:cs="Arial"/>
          <w:sz w:val="22"/>
          <w:szCs w:val="22"/>
        </w:rPr>
        <w:t xml:space="preserve"> </w:t>
      </w:r>
      <w:r w:rsidR="000A5747">
        <w:rPr>
          <w:rFonts w:ascii="Arial" w:hAnsi="Arial" w:cs="Arial"/>
          <w:sz w:val="22"/>
          <w:szCs w:val="22"/>
        </w:rPr>
        <w:t>in respect of the aggregate threshold</w:t>
      </w:r>
      <w:r w:rsidR="004100D9">
        <w:rPr>
          <w:rFonts w:ascii="Arial" w:hAnsi="Arial" w:cs="Arial"/>
          <w:sz w:val="22"/>
          <w:szCs w:val="22"/>
        </w:rPr>
        <w:t xml:space="preserve"> levels</w:t>
      </w:r>
      <w:r w:rsidR="004B6F8C">
        <w:rPr>
          <w:rFonts w:ascii="Arial" w:hAnsi="Arial" w:cs="Arial"/>
          <w:sz w:val="22"/>
          <w:szCs w:val="22"/>
        </w:rPr>
        <w:t>.</w:t>
      </w:r>
    </w:p>
    <w:p w14:paraId="0BBE19E3" w14:textId="200B7B4C" w:rsidR="00107D41" w:rsidRDefault="00107D41" w:rsidP="00E92500">
      <w:pPr>
        <w:jc w:val="both"/>
        <w:rPr>
          <w:rFonts w:ascii="Arial" w:hAnsi="Arial" w:cs="Arial"/>
          <w:sz w:val="22"/>
          <w:szCs w:val="22"/>
        </w:rPr>
      </w:pPr>
      <w:r>
        <w:rPr>
          <w:rFonts w:ascii="Arial" w:hAnsi="Arial" w:cs="Arial"/>
          <w:sz w:val="22"/>
          <w:szCs w:val="22"/>
        </w:rPr>
        <w:t xml:space="preserve">However, we would like to </w:t>
      </w:r>
      <w:r w:rsidR="00470432">
        <w:rPr>
          <w:rFonts w:ascii="Arial" w:hAnsi="Arial" w:cs="Arial"/>
          <w:sz w:val="22"/>
          <w:szCs w:val="22"/>
        </w:rPr>
        <w:t xml:space="preserve">reiterate </w:t>
      </w:r>
      <w:r>
        <w:rPr>
          <w:rFonts w:ascii="Arial" w:hAnsi="Arial" w:cs="Arial"/>
          <w:sz w:val="22"/>
          <w:szCs w:val="22"/>
        </w:rPr>
        <w:t xml:space="preserve">that, </w:t>
      </w:r>
      <w:proofErr w:type="gramStart"/>
      <w:r>
        <w:rPr>
          <w:rFonts w:ascii="Arial" w:hAnsi="Arial" w:cs="Arial"/>
          <w:sz w:val="22"/>
          <w:szCs w:val="22"/>
        </w:rPr>
        <w:t>as a consequence of</w:t>
      </w:r>
      <w:proofErr w:type="gramEnd"/>
      <w:r>
        <w:rPr>
          <w:rFonts w:ascii="Arial" w:hAnsi="Arial" w:cs="Arial"/>
          <w:sz w:val="22"/>
          <w:szCs w:val="22"/>
        </w:rPr>
        <w:t xml:space="preserve"> the new requirement, FCs will have to calculate positions against two different sets of thresholds </w:t>
      </w:r>
      <w:r w:rsidR="00AF602A">
        <w:rPr>
          <w:rFonts w:ascii="Arial" w:hAnsi="Arial" w:cs="Arial"/>
          <w:sz w:val="22"/>
          <w:szCs w:val="22"/>
        </w:rPr>
        <w:t>which</w:t>
      </w:r>
      <w:r>
        <w:rPr>
          <w:rFonts w:ascii="Arial" w:hAnsi="Arial" w:cs="Arial"/>
          <w:sz w:val="22"/>
          <w:szCs w:val="22"/>
        </w:rPr>
        <w:t xml:space="preserve"> will inevitably add complexity and we would, therefore, </w:t>
      </w:r>
      <w:r w:rsidR="00145B74">
        <w:rPr>
          <w:rFonts w:ascii="Arial" w:hAnsi="Arial" w:cs="Arial"/>
          <w:sz w:val="22"/>
          <w:szCs w:val="22"/>
        </w:rPr>
        <w:t xml:space="preserve">support </w:t>
      </w:r>
      <w:r>
        <w:rPr>
          <w:rFonts w:ascii="Arial" w:hAnsi="Arial" w:cs="Arial"/>
          <w:sz w:val="22"/>
          <w:szCs w:val="22"/>
        </w:rPr>
        <w:t>minimising the burden on firms by only setting an aggregate threshold where strictly necessary.</w:t>
      </w:r>
      <w:r w:rsidR="00145B74">
        <w:rPr>
          <w:rFonts w:ascii="Arial" w:hAnsi="Arial" w:cs="Arial"/>
          <w:sz w:val="22"/>
          <w:szCs w:val="22"/>
        </w:rPr>
        <w:t xml:space="preserve"> </w:t>
      </w:r>
      <w:r w:rsidR="00335FC9">
        <w:rPr>
          <w:rFonts w:ascii="Arial" w:hAnsi="Arial" w:cs="Arial"/>
          <w:sz w:val="22"/>
          <w:szCs w:val="22"/>
        </w:rPr>
        <w:t>We also</w:t>
      </w:r>
      <w:r w:rsidR="00145B74">
        <w:rPr>
          <w:rFonts w:ascii="Arial" w:hAnsi="Arial" w:cs="Arial"/>
          <w:sz w:val="22"/>
          <w:szCs w:val="22"/>
        </w:rPr>
        <w:t xml:space="preserve"> </w:t>
      </w:r>
      <w:r w:rsidR="00AF602A">
        <w:rPr>
          <w:rFonts w:ascii="Arial" w:hAnsi="Arial" w:cs="Arial"/>
          <w:sz w:val="22"/>
          <w:szCs w:val="22"/>
        </w:rPr>
        <w:t>re-</w:t>
      </w:r>
      <w:r w:rsidR="00335FC9">
        <w:rPr>
          <w:rFonts w:ascii="Arial" w:hAnsi="Arial" w:cs="Arial"/>
          <w:sz w:val="22"/>
          <w:szCs w:val="22"/>
        </w:rPr>
        <w:t>emphasise</w:t>
      </w:r>
      <w:r w:rsidR="00145B74">
        <w:rPr>
          <w:rFonts w:ascii="Arial" w:hAnsi="Arial" w:cs="Arial"/>
          <w:sz w:val="22"/>
          <w:szCs w:val="22"/>
        </w:rPr>
        <w:t xml:space="preserve"> our recommendation </w:t>
      </w:r>
      <w:r w:rsidR="000C52D2">
        <w:rPr>
          <w:rFonts w:ascii="Arial" w:hAnsi="Arial" w:cs="Arial"/>
          <w:sz w:val="22"/>
          <w:szCs w:val="22"/>
        </w:rPr>
        <w:t>under</w:t>
      </w:r>
      <w:r w:rsidR="00145B74">
        <w:rPr>
          <w:rFonts w:ascii="Arial" w:hAnsi="Arial" w:cs="Arial"/>
          <w:sz w:val="22"/>
          <w:szCs w:val="22"/>
        </w:rPr>
        <w:t xml:space="preserve"> </w:t>
      </w:r>
      <w:r w:rsidR="000C52D2">
        <w:rPr>
          <w:rFonts w:ascii="Arial" w:hAnsi="Arial" w:cs="Arial"/>
          <w:sz w:val="22"/>
          <w:szCs w:val="22"/>
        </w:rPr>
        <w:t>Q</w:t>
      </w:r>
      <w:r w:rsidR="00145B74">
        <w:rPr>
          <w:rFonts w:ascii="Arial" w:hAnsi="Arial" w:cs="Arial"/>
          <w:sz w:val="22"/>
          <w:szCs w:val="22"/>
        </w:rPr>
        <w:t>uestion 1 t</w:t>
      </w:r>
      <w:r w:rsidR="000C52D2">
        <w:rPr>
          <w:rFonts w:ascii="Arial" w:hAnsi="Arial" w:cs="Arial"/>
          <w:sz w:val="22"/>
          <w:szCs w:val="22"/>
        </w:rPr>
        <w:t xml:space="preserve">hat ESMA provides FCs with a sufficient transitional period for implementation to avoid the risk of non-compliance while these entities </w:t>
      </w:r>
      <w:proofErr w:type="gramStart"/>
      <w:r w:rsidR="000C52D2">
        <w:rPr>
          <w:rFonts w:ascii="Arial" w:hAnsi="Arial" w:cs="Arial"/>
          <w:sz w:val="22"/>
          <w:szCs w:val="22"/>
        </w:rPr>
        <w:t>make preparations</w:t>
      </w:r>
      <w:proofErr w:type="gramEnd"/>
      <w:r w:rsidR="000C52D2">
        <w:rPr>
          <w:rFonts w:ascii="Arial" w:hAnsi="Arial" w:cs="Arial"/>
          <w:sz w:val="22"/>
          <w:szCs w:val="22"/>
        </w:rPr>
        <w:t xml:space="preserve"> to apply the new methodology</w:t>
      </w:r>
      <w:r w:rsidR="00AF602A">
        <w:rPr>
          <w:rFonts w:ascii="Arial" w:hAnsi="Arial" w:cs="Arial"/>
          <w:sz w:val="22"/>
          <w:szCs w:val="22"/>
        </w:rPr>
        <w:t>.</w:t>
      </w:r>
      <w:r w:rsidR="00145B74">
        <w:rPr>
          <w:rFonts w:ascii="Arial" w:hAnsi="Arial" w:cs="Arial"/>
          <w:sz w:val="22"/>
          <w:szCs w:val="22"/>
        </w:rPr>
        <w:t xml:space="preserve"> </w:t>
      </w:r>
    </w:p>
    <w:p w14:paraId="1CAED647" w14:textId="267DBD40" w:rsidR="008A3615" w:rsidRPr="00AF4B4B" w:rsidRDefault="00BA137F" w:rsidP="00AF4B4B">
      <w:pPr>
        <w:jc w:val="both"/>
        <w:rPr>
          <w:rFonts w:ascii="Arial" w:hAnsi="Arial" w:cs="Arial"/>
          <w:b/>
          <w:bCs/>
          <w:sz w:val="22"/>
          <w:szCs w:val="22"/>
        </w:rPr>
      </w:pPr>
      <w:r w:rsidRPr="00D67CE4">
        <w:rPr>
          <w:rFonts w:ascii="Arial" w:hAnsi="Arial" w:cs="Arial"/>
          <w:b/>
          <w:bCs/>
          <w:sz w:val="22"/>
          <w:szCs w:val="22"/>
        </w:rPr>
        <w:t xml:space="preserve">Question 3:  </w:t>
      </w:r>
      <w:r w:rsidR="00E92500" w:rsidRPr="00E92500">
        <w:rPr>
          <w:rFonts w:ascii="Arial" w:hAnsi="Arial" w:cs="Arial"/>
          <w:b/>
          <w:bCs/>
          <w:sz w:val="22"/>
          <w:szCs w:val="22"/>
        </w:rPr>
        <w:t>Do you agree with the proposed uncleared thresholds? If not, please elaborate,</w:t>
      </w:r>
      <w:r w:rsidR="00E92500">
        <w:rPr>
          <w:rFonts w:ascii="Arial" w:hAnsi="Arial" w:cs="Arial"/>
          <w:b/>
          <w:bCs/>
          <w:sz w:val="22"/>
          <w:szCs w:val="22"/>
        </w:rPr>
        <w:t xml:space="preserve"> </w:t>
      </w:r>
      <w:r w:rsidR="00E92500" w:rsidRPr="00E92500">
        <w:rPr>
          <w:rFonts w:ascii="Arial" w:hAnsi="Arial" w:cs="Arial"/>
          <w:b/>
          <w:bCs/>
          <w:sz w:val="22"/>
          <w:szCs w:val="22"/>
        </w:rPr>
        <w:t>explain for which asset class(es) and, where possible, provide supporting data and</w:t>
      </w:r>
      <w:r w:rsidR="00E92500">
        <w:rPr>
          <w:rFonts w:ascii="Arial" w:hAnsi="Arial" w:cs="Arial"/>
          <w:b/>
          <w:bCs/>
          <w:sz w:val="22"/>
          <w:szCs w:val="22"/>
        </w:rPr>
        <w:t xml:space="preserve"> </w:t>
      </w:r>
      <w:r w:rsidR="00E92500" w:rsidRPr="00E92500">
        <w:rPr>
          <w:rFonts w:ascii="Arial" w:hAnsi="Arial" w:cs="Arial"/>
          <w:b/>
          <w:bCs/>
          <w:sz w:val="22"/>
          <w:szCs w:val="22"/>
        </w:rPr>
        <w:t>elements.</w:t>
      </w:r>
    </w:p>
    <w:p w14:paraId="2BFF48DB" w14:textId="6F15C817" w:rsidR="00A771D9" w:rsidRDefault="002E3D16" w:rsidP="00F42D0B">
      <w:pPr>
        <w:spacing w:after="0"/>
        <w:jc w:val="both"/>
        <w:rPr>
          <w:rFonts w:ascii="Arial" w:hAnsi="Arial" w:cs="Arial"/>
          <w:sz w:val="22"/>
          <w:szCs w:val="22"/>
        </w:rPr>
      </w:pPr>
      <w:r>
        <w:rPr>
          <w:rFonts w:ascii="Arial" w:hAnsi="Arial" w:cs="Arial"/>
          <w:sz w:val="22"/>
          <w:szCs w:val="22"/>
        </w:rPr>
        <w:t xml:space="preserve">We </w:t>
      </w:r>
      <w:r w:rsidR="002A3B79">
        <w:rPr>
          <w:rFonts w:ascii="Arial" w:hAnsi="Arial" w:cs="Arial"/>
          <w:sz w:val="22"/>
          <w:szCs w:val="22"/>
        </w:rPr>
        <w:t>broadly agree with</w:t>
      </w:r>
      <w:r>
        <w:rPr>
          <w:rFonts w:ascii="Arial" w:hAnsi="Arial" w:cs="Arial"/>
          <w:sz w:val="22"/>
          <w:szCs w:val="22"/>
        </w:rPr>
        <w:t xml:space="preserve"> ESMA's proposed uncleared thresholds</w:t>
      </w:r>
      <w:r w:rsidR="002A3B79">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with the exception of</w:t>
      </w:r>
      <w:proofErr w:type="gramEnd"/>
      <w:r>
        <w:rPr>
          <w:rFonts w:ascii="Arial" w:hAnsi="Arial" w:cs="Arial"/>
          <w:sz w:val="22"/>
          <w:szCs w:val="22"/>
        </w:rPr>
        <w:t xml:space="preserve"> the </w:t>
      </w:r>
      <w:r w:rsidR="00CE35D9">
        <w:rPr>
          <w:rFonts w:ascii="Arial" w:hAnsi="Arial" w:cs="Arial"/>
          <w:sz w:val="22"/>
          <w:szCs w:val="22"/>
        </w:rPr>
        <w:t xml:space="preserve">proposed </w:t>
      </w:r>
      <w:r>
        <w:rPr>
          <w:rFonts w:ascii="Arial" w:hAnsi="Arial" w:cs="Arial"/>
          <w:sz w:val="22"/>
          <w:szCs w:val="22"/>
        </w:rPr>
        <w:t>uncleared threshold for</w:t>
      </w:r>
      <w:r w:rsidR="00556395">
        <w:rPr>
          <w:rFonts w:ascii="Arial" w:hAnsi="Arial" w:cs="Arial"/>
          <w:sz w:val="22"/>
          <w:szCs w:val="22"/>
        </w:rPr>
        <w:t xml:space="preserve"> each of</w:t>
      </w:r>
      <w:r w:rsidR="00DB6435">
        <w:rPr>
          <w:rFonts w:ascii="Arial" w:hAnsi="Arial" w:cs="Arial"/>
          <w:sz w:val="22"/>
          <w:szCs w:val="22"/>
        </w:rPr>
        <w:t xml:space="preserve"> </w:t>
      </w:r>
      <w:r w:rsidR="00697C5D">
        <w:rPr>
          <w:rFonts w:ascii="Arial" w:hAnsi="Arial" w:cs="Arial"/>
          <w:sz w:val="22"/>
          <w:szCs w:val="22"/>
        </w:rPr>
        <w:t>IR</w:t>
      </w:r>
      <w:r w:rsidR="00C05DED">
        <w:rPr>
          <w:rFonts w:ascii="Arial" w:hAnsi="Arial" w:cs="Arial"/>
          <w:sz w:val="22"/>
          <w:szCs w:val="22"/>
        </w:rPr>
        <w:t xml:space="preserve">Ds and </w:t>
      </w:r>
      <w:r w:rsidR="00DB6435">
        <w:rPr>
          <w:rFonts w:ascii="Arial" w:hAnsi="Arial" w:cs="Arial"/>
          <w:sz w:val="22"/>
          <w:szCs w:val="22"/>
        </w:rPr>
        <w:t xml:space="preserve">commodity derivatives. </w:t>
      </w:r>
      <w:r w:rsidR="00A372E0">
        <w:rPr>
          <w:rFonts w:ascii="Arial" w:hAnsi="Arial" w:cs="Arial"/>
          <w:sz w:val="22"/>
          <w:szCs w:val="22"/>
        </w:rPr>
        <w:t>We acknowledge</w:t>
      </w:r>
      <w:r w:rsidR="00DE327E">
        <w:rPr>
          <w:rFonts w:ascii="Arial" w:hAnsi="Arial" w:cs="Arial"/>
          <w:sz w:val="22"/>
          <w:szCs w:val="22"/>
        </w:rPr>
        <w:t xml:space="preserve"> that</w:t>
      </w:r>
      <w:r w:rsidR="00A372E0">
        <w:rPr>
          <w:rFonts w:ascii="Arial" w:hAnsi="Arial" w:cs="Arial"/>
          <w:sz w:val="22"/>
          <w:szCs w:val="22"/>
        </w:rPr>
        <w:t xml:space="preserve"> the amendment to the calculation methodology for uncleared derivatives shifts away from the ETD vs OTC distinction and instead ensures that only non-centrally cleared derivative contracts are counted for the purpose of calculating positions in respect of the clearing thresholds.</w:t>
      </w:r>
      <w:r w:rsidR="006A23CF">
        <w:rPr>
          <w:rFonts w:ascii="Arial" w:hAnsi="Arial" w:cs="Arial"/>
          <w:sz w:val="22"/>
          <w:szCs w:val="22"/>
        </w:rPr>
        <w:t xml:space="preserve"> </w:t>
      </w:r>
      <w:r w:rsidR="00DB6435">
        <w:rPr>
          <w:rFonts w:ascii="Arial" w:hAnsi="Arial" w:cs="Arial"/>
          <w:sz w:val="22"/>
          <w:szCs w:val="22"/>
        </w:rPr>
        <w:t xml:space="preserve">We </w:t>
      </w:r>
      <w:r w:rsidR="00F01369">
        <w:rPr>
          <w:rFonts w:ascii="Arial" w:hAnsi="Arial" w:cs="Arial"/>
          <w:sz w:val="22"/>
          <w:szCs w:val="22"/>
        </w:rPr>
        <w:t xml:space="preserve">therefore </w:t>
      </w:r>
      <w:r w:rsidR="00DB6435">
        <w:rPr>
          <w:rFonts w:ascii="Arial" w:hAnsi="Arial" w:cs="Arial"/>
          <w:sz w:val="22"/>
          <w:szCs w:val="22"/>
        </w:rPr>
        <w:t xml:space="preserve">understand why ESMA concluded that the </w:t>
      </w:r>
      <w:r w:rsidR="00D11488">
        <w:rPr>
          <w:rFonts w:ascii="Arial" w:hAnsi="Arial" w:cs="Arial"/>
          <w:sz w:val="22"/>
          <w:szCs w:val="22"/>
        </w:rPr>
        <w:t>existing t</w:t>
      </w:r>
      <w:r w:rsidR="00DB6435">
        <w:rPr>
          <w:rFonts w:ascii="Arial" w:hAnsi="Arial" w:cs="Arial"/>
          <w:sz w:val="22"/>
          <w:szCs w:val="22"/>
        </w:rPr>
        <w:t>hreshold</w:t>
      </w:r>
      <w:r w:rsidR="00F01369">
        <w:rPr>
          <w:rFonts w:ascii="Arial" w:hAnsi="Arial" w:cs="Arial"/>
          <w:sz w:val="22"/>
          <w:szCs w:val="22"/>
        </w:rPr>
        <w:t>s</w:t>
      </w:r>
      <w:r w:rsidR="00DB6435">
        <w:rPr>
          <w:rFonts w:ascii="Arial" w:hAnsi="Arial" w:cs="Arial"/>
          <w:sz w:val="22"/>
          <w:szCs w:val="22"/>
        </w:rPr>
        <w:t xml:space="preserve"> should be decreased </w:t>
      </w:r>
      <w:r w:rsidR="00DB6435" w:rsidRPr="007E6661">
        <w:rPr>
          <w:rFonts w:ascii="Arial" w:hAnsi="Arial" w:cs="Arial"/>
          <w:sz w:val="22"/>
          <w:szCs w:val="22"/>
        </w:rPr>
        <w:t>from</w:t>
      </w:r>
      <w:r w:rsidR="00556395" w:rsidRPr="007E6661">
        <w:rPr>
          <w:rFonts w:ascii="Arial" w:hAnsi="Arial" w:cs="Arial"/>
          <w:sz w:val="22"/>
          <w:szCs w:val="22"/>
        </w:rPr>
        <w:t xml:space="preserve"> </w:t>
      </w:r>
      <w:r w:rsidR="00753523" w:rsidRPr="007E6661">
        <w:rPr>
          <w:rFonts w:ascii="Arial" w:hAnsi="Arial" w:cs="Arial"/>
          <w:sz w:val="22"/>
          <w:szCs w:val="22"/>
        </w:rPr>
        <w:t xml:space="preserve">(a) </w:t>
      </w:r>
      <w:r w:rsidR="00556395" w:rsidRPr="007E6661">
        <w:rPr>
          <w:rFonts w:ascii="Arial" w:hAnsi="Arial" w:cs="Arial"/>
          <w:sz w:val="22"/>
          <w:szCs w:val="22"/>
        </w:rPr>
        <w:t>EUR 3 billion to EUR 1.8 billion for IRDs; and</w:t>
      </w:r>
      <w:r w:rsidR="00DB6435" w:rsidRPr="007E6661">
        <w:rPr>
          <w:rFonts w:ascii="Arial" w:hAnsi="Arial" w:cs="Arial"/>
          <w:sz w:val="22"/>
          <w:szCs w:val="22"/>
        </w:rPr>
        <w:t xml:space="preserve"> </w:t>
      </w:r>
      <w:r w:rsidR="00F01369" w:rsidRPr="007E6661">
        <w:rPr>
          <w:rFonts w:ascii="Arial" w:hAnsi="Arial" w:cs="Arial"/>
          <w:sz w:val="22"/>
          <w:szCs w:val="22"/>
        </w:rPr>
        <w:t>(</w:t>
      </w:r>
      <w:r w:rsidR="00556395" w:rsidRPr="007E6661">
        <w:rPr>
          <w:rFonts w:ascii="Arial" w:hAnsi="Arial" w:cs="Arial"/>
          <w:sz w:val="22"/>
          <w:szCs w:val="22"/>
        </w:rPr>
        <w:t>b</w:t>
      </w:r>
      <w:r w:rsidR="00F01369" w:rsidRPr="007E6661">
        <w:rPr>
          <w:rFonts w:ascii="Arial" w:hAnsi="Arial" w:cs="Arial"/>
          <w:sz w:val="22"/>
          <w:szCs w:val="22"/>
        </w:rPr>
        <w:t xml:space="preserve">) </w:t>
      </w:r>
      <w:r w:rsidR="00406584" w:rsidRPr="007E6661">
        <w:rPr>
          <w:rFonts w:ascii="Arial" w:hAnsi="Arial" w:cs="Arial"/>
          <w:sz w:val="22"/>
          <w:szCs w:val="22"/>
        </w:rPr>
        <w:t xml:space="preserve">EUR </w:t>
      </w:r>
      <w:r w:rsidR="00DB6435" w:rsidRPr="007E6661">
        <w:rPr>
          <w:rFonts w:ascii="Arial" w:hAnsi="Arial" w:cs="Arial"/>
          <w:sz w:val="22"/>
          <w:szCs w:val="22"/>
        </w:rPr>
        <w:t xml:space="preserve">4 billion to </w:t>
      </w:r>
      <w:r w:rsidR="00406584" w:rsidRPr="007E6661">
        <w:rPr>
          <w:rFonts w:ascii="Arial" w:hAnsi="Arial" w:cs="Arial"/>
          <w:sz w:val="22"/>
          <w:szCs w:val="22"/>
        </w:rPr>
        <w:t xml:space="preserve">EUR </w:t>
      </w:r>
      <w:r w:rsidR="00DB6435" w:rsidRPr="007E6661">
        <w:rPr>
          <w:rFonts w:ascii="Arial" w:hAnsi="Arial" w:cs="Arial"/>
          <w:sz w:val="22"/>
          <w:szCs w:val="22"/>
        </w:rPr>
        <w:t>3 billion</w:t>
      </w:r>
      <w:r w:rsidR="00F01369" w:rsidRPr="007E6661">
        <w:rPr>
          <w:rFonts w:ascii="Arial" w:hAnsi="Arial" w:cs="Arial"/>
          <w:sz w:val="22"/>
          <w:szCs w:val="22"/>
        </w:rPr>
        <w:t xml:space="preserve"> for commodity derivatives. </w:t>
      </w:r>
      <w:r w:rsidR="006A23CF" w:rsidRPr="007E6661">
        <w:rPr>
          <w:rFonts w:ascii="Arial" w:hAnsi="Arial" w:cs="Arial"/>
          <w:sz w:val="22"/>
          <w:szCs w:val="22"/>
        </w:rPr>
        <w:t>We also acknowledge that the NFC test has change</w:t>
      </w:r>
      <w:r w:rsidR="009873C8" w:rsidRPr="007E6661">
        <w:rPr>
          <w:rFonts w:ascii="Arial" w:hAnsi="Arial" w:cs="Arial"/>
          <w:sz w:val="22"/>
          <w:szCs w:val="22"/>
        </w:rPr>
        <w:t>d</w:t>
      </w:r>
      <w:r w:rsidR="006A23CF" w:rsidRPr="007E6661">
        <w:rPr>
          <w:rFonts w:ascii="Arial" w:hAnsi="Arial" w:cs="Arial"/>
          <w:sz w:val="22"/>
          <w:szCs w:val="22"/>
        </w:rPr>
        <w:t xml:space="preserve"> from </w:t>
      </w:r>
      <w:proofErr w:type="gramStart"/>
      <w:r w:rsidR="006A23CF" w:rsidRPr="007E6661">
        <w:rPr>
          <w:rFonts w:ascii="Arial" w:hAnsi="Arial" w:cs="Arial"/>
          <w:sz w:val="22"/>
          <w:szCs w:val="22"/>
        </w:rPr>
        <w:t>a</w:t>
      </w:r>
      <w:proofErr w:type="gramEnd"/>
      <w:r w:rsidR="006A23CF" w:rsidRPr="007E6661">
        <w:rPr>
          <w:rFonts w:ascii="Arial" w:hAnsi="Arial" w:cs="Arial"/>
          <w:sz w:val="22"/>
          <w:szCs w:val="22"/>
        </w:rPr>
        <w:t xml:space="preserve"> NFC group test to a single entity NFC test and anticipate that may also have influenced ESMA's conclusion </w:t>
      </w:r>
      <w:r w:rsidR="00841EB2" w:rsidRPr="007E6661">
        <w:rPr>
          <w:rFonts w:ascii="Arial" w:hAnsi="Arial" w:cs="Arial"/>
          <w:sz w:val="22"/>
          <w:szCs w:val="22"/>
        </w:rPr>
        <w:t xml:space="preserve">to </w:t>
      </w:r>
      <w:r w:rsidR="006A23CF" w:rsidRPr="007E6661">
        <w:rPr>
          <w:rFonts w:ascii="Arial" w:hAnsi="Arial" w:cs="Arial"/>
          <w:sz w:val="22"/>
          <w:szCs w:val="22"/>
        </w:rPr>
        <w:t>decreas</w:t>
      </w:r>
      <w:r w:rsidR="00841EB2" w:rsidRPr="007E6661">
        <w:rPr>
          <w:rFonts w:ascii="Arial" w:hAnsi="Arial" w:cs="Arial"/>
          <w:sz w:val="22"/>
          <w:szCs w:val="22"/>
        </w:rPr>
        <w:t>e</w:t>
      </w:r>
      <w:r w:rsidR="006A23CF" w:rsidRPr="007E6661">
        <w:rPr>
          <w:rFonts w:ascii="Arial" w:hAnsi="Arial" w:cs="Arial"/>
          <w:sz w:val="22"/>
          <w:szCs w:val="22"/>
        </w:rPr>
        <w:t xml:space="preserve"> the</w:t>
      </w:r>
      <w:r w:rsidR="006A23CF">
        <w:rPr>
          <w:rFonts w:ascii="Arial" w:hAnsi="Arial" w:cs="Arial"/>
          <w:sz w:val="22"/>
          <w:szCs w:val="22"/>
        </w:rPr>
        <w:t xml:space="preserve"> thresholds. </w:t>
      </w:r>
      <w:r w:rsidR="00985E32">
        <w:rPr>
          <w:rFonts w:ascii="Arial" w:hAnsi="Arial" w:cs="Arial"/>
          <w:sz w:val="22"/>
          <w:szCs w:val="22"/>
        </w:rPr>
        <w:t>Finally, w</w:t>
      </w:r>
      <w:r w:rsidR="00F01369">
        <w:rPr>
          <w:rFonts w:ascii="Arial" w:hAnsi="Arial" w:cs="Arial"/>
          <w:sz w:val="22"/>
          <w:szCs w:val="22"/>
        </w:rPr>
        <w:t>e also appreciate that</w:t>
      </w:r>
      <w:r w:rsidR="00DB6435">
        <w:rPr>
          <w:rFonts w:ascii="Arial" w:hAnsi="Arial" w:cs="Arial"/>
          <w:sz w:val="22"/>
          <w:szCs w:val="22"/>
        </w:rPr>
        <w:t xml:space="preserve"> </w:t>
      </w:r>
      <w:r w:rsidR="008C2143">
        <w:rPr>
          <w:rFonts w:ascii="Arial" w:hAnsi="Arial" w:cs="Arial"/>
          <w:sz w:val="22"/>
          <w:szCs w:val="22"/>
        </w:rPr>
        <w:t>ESMA has proposed</w:t>
      </w:r>
      <w:r w:rsidR="00A771D9">
        <w:rPr>
          <w:rFonts w:ascii="Arial" w:hAnsi="Arial" w:cs="Arial"/>
          <w:sz w:val="22"/>
          <w:szCs w:val="22"/>
        </w:rPr>
        <w:t xml:space="preserve"> reduc</w:t>
      </w:r>
      <w:r w:rsidR="008C2143">
        <w:rPr>
          <w:rFonts w:ascii="Arial" w:hAnsi="Arial" w:cs="Arial"/>
          <w:sz w:val="22"/>
          <w:szCs w:val="22"/>
        </w:rPr>
        <w:t>ing th</w:t>
      </w:r>
      <w:r w:rsidR="00901C6B">
        <w:rPr>
          <w:rFonts w:ascii="Arial" w:hAnsi="Arial" w:cs="Arial"/>
          <w:sz w:val="22"/>
          <w:szCs w:val="22"/>
        </w:rPr>
        <w:t>e scope of th</w:t>
      </w:r>
      <w:r w:rsidR="00F01369">
        <w:rPr>
          <w:rFonts w:ascii="Arial" w:hAnsi="Arial" w:cs="Arial"/>
          <w:sz w:val="22"/>
          <w:szCs w:val="22"/>
        </w:rPr>
        <w:t>e commodity</w:t>
      </w:r>
      <w:r w:rsidR="008C2143">
        <w:rPr>
          <w:rFonts w:ascii="Arial" w:hAnsi="Arial" w:cs="Arial"/>
          <w:sz w:val="22"/>
          <w:szCs w:val="22"/>
        </w:rPr>
        <w:t xml:space="preserve"> asset class</w:t>
      </w:r>
      <w:r w:rsidR="00A771D9">
        <w:rPr>
          <w:rFonts w:ascii="Arial" w:hAnsi="Arial" w:cs="Arial"/>
          <w:sz w:val="22"/>
          <w:szCs w:val="22"/>
        </w:rPr>
        <w:t xml:space="preserve"> from "commodity and other derivatives" to </w:t>
      </w:r>
      <w:r w:rsidR="00B810D6">
        <w:rPr>
          <w:rFonts w:ascii="Arial" w:hAnsi="Arial" w:cs="Arial"/>
          <w:sz w:val="22"/>
          <w:szCs w:val="22"/>
        </w:rPr>
        <w:t>"</w:t>
      </w:r>
      <w:r w:rsidR="00A771D9">
        <w:rPr>
          <w:rFonts w:ascii="Arial" w:hAnsi="Arial" w:cs="Arial"/>
          <w:sz w:val="22"/>
          <w:szCs w:val="22"/>
        </w:rPr>
        <w:t>commodity and emission allowance derivatives</w:t>
      </w:r>
      <w:r w:rsidR="008C2143">
        <w:rPr>
          <w:rFonts w:ascii="Arial" w:hAnsi="Arial" w:cs="Arial"/>
          <w:sz w:val="22"/>
          <w:szCs w:val="22"/>
        </w:rPr>
        <w:t>.</w:t>
      </w:r>
      <w:r w:rsidR="00A771D9">
        <w:rPr>
          <w:rFonts w:ascii="Arial" w:hAnsi="Arial" w:cs="Arial"/>
          <w:sz w:val="22"/>
          <w:szCs w:val="22"/>
        </w:rPr>
        <w:t>"</w:t>
      </w:r>
      <w:r w:rsidR="008C2143">
        <w:rPr>
          <w:rFonts w:ascii="Arial" w:hAnsi="Arial" w:cs="Arial"/>
          <w:sz w:val="22"/>
          <w:szCs w:val="22"/>
        </w:rPr>
        <w:t xml:space="preserve"> </w:t>
      </w:r>
    </w:p>
    <w:p w14:paraId="34ABEAFD" w14:textId="77777777" w:rsidR="00864C49" w:rsidRDefault="00864C49" w:rsidP="00F42D0B">
      <w:pPr>
        <w:spacing w:after="0"/>
        <w:jc w:val="both"/>
        <w:rPr>
          <w:rFonts w:ascii="Arial" w:hAnsi="Arial" w:cs="Arial"/>
          <w:sz w:val="22"/>
          <w:szCs w:val="22"/>
        </w:rPr>
      </w:pPr>
    </w:p>
    <w:p w14:paraId="7F11A785" w14:textId="305674E5" w:rsidR="00446E05" w:rsidRDefault="00446E05" w:rsidP="00F42D0B">
      <w:pPr>
        <w:spacing w:after="0"/>
        <w:jc w:val="both"/>
        <w:rPr>
          <w:rFonts w:ascii="Arial" w:hAnsi="Arial" w:cs="Arial"/>
          <w:sz w:val="22"/>
          <w:szCs w:val="22"/>
        </w:rPr>
      </w:pPr>
      <w:r>
        <w:rPr>
          <w:rFonts w:ascii="Arial" w:hAnsi="Arial" w:cs="Arial"/>
          <w:sz w:val="22"/>
          <w:szCs w:val="22"/>
        </w:rPr>
        <w:t>We would, however, invite ESMA to provide further evidence to justify the revision of the level of the clearing thresholds, including scenarios and simulations. For example, the consultation paper does not disclose the impact of the new clearing thresholds in terms of number of FC</w:t>
      </w:r>
      <w:r w:rsidR="004D3BB1">
        <w:rPr>
          <w:rFonts w:ascii="Arial" w:hAnsi="Arial" w:cs="Arial"/>
          <w:sz w:val="22"/>
          <w:szCs w:val="22"/>
        </w:rPr>
        <w:t>s</w:t>
      </w:r>
      <w:r>
        <w:rPr>
          <w:rFonts w:ascii="Arial" w:hAnsi="Arial" w:cs="Arial"/>
          <w:sz w:val="22"/>
          <w:szCs w:val="22"/>
        </w:rPr>
        <w:t xml:space="preserve">/NFCs and the notional which would be captured by them. </w:t>
      </w:r>
      <w:r w:rsidR="00042078">
        <w:rPr>
          <w:rFonts w:ascii="Arial" w:hAnsi="Arial" w:cs="Arial"/>
          <w:sz w:val="22"/>
          <w:szCs w:val="22"/>
        </w:rPr>
        <w:t>In this respect, we would draw to ESMA's attention that they have previously provided more detailed and granular data</w:t>
      </w:r>
      <w:r w:rsidR="00042078">
        <w:rPr>
          <w:rStyle w:val="FootnoteReference"/>
          <w:rFonts w:ascii="Arial" w:hAnsi="Arial" w:cs="Arial"/>
          <w:sz w:val="22"/>
          <w:szCs w:val="22"/>
        </w:rPr>
        <w:footnoteReference w:id="2"/>
      </w:r>
      <w:r w:rsidR="00042078">
        <w:rPr>
          <w:rFonts w:ascii="Arial" w:hAnsi="Arial" w:cs="Arial"/>
          <w:sz w:val="22"/>
          <w:szCs w:val="22"/>
        </w:rPr>
        <w:t xml:space="preserve"> allowing market participants to observe the impact of increasing and decreasing the thresholds for FCs and NFCs and for each asset class. </w:t>
      </w:r>
      <w:proofErr w:type="gramStart"/>
      <w:r w:rsidR="00042078">
        <w:rPr>
          <w:rFonts w:ascii="Arial" w:hAnsi="Arial" w:cs="Arial"/>
          <w:sz w:val="22"/>
          <w:szCs w:val="22"/>
        </w:rPr>
        <w:t>In light of</w:t>
      </w:r>
      <w:proofErr w:type="gramEnd"/>
      <w:r w:rsidR="00042078">
        <w:rPr>
          <w:rFonts w:ascii="Arial" w:hAnsi="Arial" w:cs="Arial"/>
          <w:sz w:val="22"/>
          <w:szCs w:val="22"/>
        </w:rPr>
        <w:t xml:space="preserve"> this, we would invite ESMA to do something similar in the context of this consultation paper.</w:t>
      </w:r>
    </w:p>
    <w:p w14:paraId="7917F67D" w14:textId="77777777" w:rsidR="00A771D9" w:rsidRDefault="00A771D9" w:rsidP="00F42D0B">
      <w:pPr>
        <w:spacing w:after="0"/>
        <w:jc w:val="both"/>
        <w:rPr>
          <w:rFonts w:ascii="Arial" w:hAnsi="Arial" w:cs="Arial"/>
          <w:sz w:val="22"/>
          <w:szCs w:val="22"/>
        </w:rPr>
      </w:pPr>
    </w:p>
    <w:p w14:paraId="69A6AED7" w14:textId="63B06D85" w:rsidR="006333BD" w:rsidRDefault="00DE327E" w:rsidP="00F42D0B">
      <w:pPr>
        <w:spacing w:after="0"/>
        <w:jc w:val="both"/>
        <w:rPr>
          <w:rFonts w:ascii="Arial" w:hAnsi="Arial" w:cs="Arial"/>
          <w:sz w:val="22"/>
          <w:szCs w:val="22"/>
        </w:rPr>
      </w:pPr>
      <w:r>
        <w:rPr>
          <w:rFonts w:ascii="Arial" w:hAnsi="Arial" w:cs="Arial"/>
          <w:sz w:val="22"/>
          <w:szCs w:val="22"/>
        </w:rPr>
        <w:lastRenderedPageBreak/>
        <w:t>Further</w:t>
      </w:r>
      <w:r w:rsidR="00446E05">
        <w:rPr>
          <w:rFonts w:ascii="Arial" w:hAnsi="Arial" w:cs="Arial"/>
          <w:sz w:val="22"/>
          <w:szCs w:val="22"/>
        </w:rPr>
        <w:t>, n</w:t>
      </w:r>
      <w:r w:rsidR="00CE35D9">
        <w:rPr>
          <w:rFonts w:ascii="Arial" w:hAnsi="Arial" w:cs="Arial"/>
          <w:sz w:val="22"/>
          <w:szCs w:val="22"/>
        </w:rPr>
        <w:t>otwithstanding th</w:t>
      </w:r>
      <w:r w:rsidR="00446E05">
        <w:rPr>
          <w:rFonts w:ascii="Arial" w:hAnsi="Arial" w:cs="Arial"/>
          <w:sz w:val="22"/>
          <w:szCs w:val="22"/>
        </w:rPr>
        <w:t>e above</w:t>
      </w:r>
      <w:r w:rsidR="00CE35D9">
        <w:rPr>
          <w:rFonts w:ascii="Arial" w:hAnsi="Arial" w:cs="Arial"/>
          <w:sz w:val="22"/>
          <w:szCs w:val="22"/>
        </w:rPr>
        <w:t>, w</w:t>
      </w:r>
      <w:r w:rsidR="00A771D9">
        <w:rPr>
          <w:rFonts w:ascii="Arial" w:hAnsi="Arial" w:cs="Arial"/>
          <w:sz w:val="22"/>
          <w:szCs w:val="22"/>
        </w:rPr>
        <w:t xml:space="preserve">e would strongly </w:t>
      </w:r>
      <w:r w:rsidR="009274E3">
        <w:rPr>
          <w:rFonts w:ascii="Arial" w:hAnsi="Arial" w:cs="Arial"/>
          <w:sz w:val="22"/>
          <w:szCs w:val="22"/>
        </w:rPr>
        <w:t>advise</w:t>
      </w:r>
      <w:r w:rsidR="00A771D9">
        <w:rPr>
          <w:rFonts w:ascii="Arial" w:hAnsi="Arial" w:cs="Arial"/>
          <w:sz w:val="22"/>
          <w:szCs w:val="22"/>
        </w:rPr>
        <w:t xml:space="preserve"> against reducing the threshold for </w:t>
      </w:r>
      <w:r w:rsidR="00753523">
        <w:rPr>
          <w:rFonts w:ascii="Arial" w:hAnsi="Arial" w:cs="Arial"/>
          <w:sz w:val="22"/>
          <w:szCs w:val="22"/>
        </w:rPr>
        <w:t xml:space="preserve">IRD and </w:t>
      </w:r>
      <w:r w:rsidR="00A771D9">
        <w:rPr>
          <w:rFonts w:ascii="Arial" w:hAnsi="Arial" w:cs="Arial"/>
          <w:sz w:val="22"/>
          <w:szCs w:val="22"/>
        </w:rPr>
        <w:t xml:space="preserve">commodity derivatives </w:t>
      </w:r>
      <w:r w:rsidR="00DB4C8A">
        <w:rPr>
          <w:rFonts w:ascii="Arial" w:hAnsi="Arial" w:cs="Arial"/>
          <w:sz w:val="22"/>
          <w:szCs w:val="22"/>
        </w:rPr>
        <w:t xml:space="preserve">from </w:t>
      </w:r>
      <w:r w:rsidR="00697C5D">
        <w:rPr>
          <w:rFonts w:ascii="Arial" w:hAnsi="Arial" w:cs="Arial"/>
          <w:sz w:val="22"/>
          <w:szCs w:val="22"/>
        </w:rPr>
        <w:t>their</w:t>
      </w:r>
      <w:r w:rsidR="00DB4C8A">
        <w:rPr>
          <w:rFonts w:ascii="Arial" w:hAnsi="Arial" w:cs="Arial"/>
          <w:sz w:val="22"/>
          <w:szCs w:val="22"/>
        </w:rPr>
        <w:t xml:space="preserve"> current level </w:t>
      </w:r>
      <w:r w:rsidR="00A771D9">
        <w:rPr>
          <w:rFonts w:ascii="Arial" w:hAnsi="Arial" w:cs="Arial"/>
          <w:sz w:val="22"/>
          <w:szCs w:val="22"/>
        </w:rPr>
        <w:t>for the reasons</w:t>
      </w:r>
      <w:r w:rsidR="00697C5D">
        <w:rPr>
          <w:rFonts w:ascii="Arial" w:hAnsi="Arial" w:cs="Arial"/>
          <w:sz w:val="22"/>
          <w:szCs w:val="22"/>
        </w:rPr>
        <w:t xml:space="preserve"> set out below</w:t>
      </w:r>
      <w:r w:rsidR="006333BD">
        <w:rPr>
          <w:rFonts w:ascii="Arial" w:hAnsi="Arial" w:cs="Arial"/>
          <w:sz w:val="22"/>
          <w:szCs w:val="22"/>
        </w:rPr>
        <w:t>.</w:t>
      </w:r>
    </w:p>
    <w:p w14:paraId="075EFDF5" w14:textId="77777777" w:rsidR="00F24C34" w:rsidRDefault="00F24C34" w:rsidP="00F42D0B">
      <w:pPr>
        <w:spacing w:after="0"/>
        <w:jc w:val="both"/>
        <w:rPr>
          <w:rFonts w:ascii="Arial" w:hAnsi="Arial" w:cs="Arial"/>
          <w:sz w:val="22"/>
          <w:szCs w:val="22"/>
        </w:rPr>
      </w:pPr>
    </w:p>
    <w:p w14:paraId="55140612" w14:textId="03FBA271" w:rsidR="00F24C34" w:rsidRDefault="00255983" w:rsidP="00F42D0B">
      <w:pPr>
        <w:spacing w:after="0"/>
        <w:jc w:val="both"/>
        <w:rPr>
          <w:rFonts w:ascii="Arial" w:hAnsi="Arial" w:cs="Arial"/>
          <w:sz w:val="22"/>
          <w:szCs w:val="22"/>
        </w:rPr>
      </w:pPr>
      <w:r>
        <w:rPr>
          <w:rFonts w:ascii="Arial" w:hAnsi="Arial" w:cs="Arial"/>
          <w:sz w:val="22"/>
          <w:szCs w:val="22"/>
        </w:rPr>
        <w:t>In addition to the below rationale on the IRD and commodity derivatives markets</w:t>
      </w:r>
      <w:r w:rsidR="006A23CF">
        <w:rPr>
          <w:rFonts w:ascii="Arial" w:hAnsi="Arial" w:cs="Arial"/>
          <w:sz w:val="22"/>
          <w:szCs w:val="22"/>
        </w:rPr>
        <w:t xml:space="preserve"> and in the context of the change to the NFC test from group to single entity,</w:t>
      </w:r>
      <w:r>
        <w:rPr>
          <w:rFonts w:ascii="Arial" w:hAnsi="Arial" w:cs="Arial"/>
          <w:sz w:val="22"/>
          <w:szCs w:val="22"/>
        </w:rPr>
        <w:t xml:space="preserve"> we note that NFCs</w:t>
      </w:r>
      <w:r w:rsidR="006A23CF">
        <w:rPr>
          <w:rFonts w:ascii="Arial" w:hAnsi="Arial" w:cs="Arial"/>
          <w:sz w:val="22"/>
          <w:szCs w:val="22"/>
        </w:rPr>
        <w:t xml:space="preserve"> in fact</w:t>
      </w:r>
      <w:r>
        <w:rPr>
          <w:rFonts w:ascii="Arial" w:hAnsi="Arial" w:cs="Arial"/>
          <w:sz w:val="22"/>
          <w:szCs w:val="22"/>
        </w:rPr>
        <w:t xml:space="preserve"> typically centralise their derivative trading activities through a single entity in the group. This is </w:t>
      </w:r>
      <w:proofErr w:type="gramStart"/>
      <w:r>
        <w:rPr>
          <w:rFonts w:ascii="Arial" w:hAnsi="Arial" w:cs="Arial"/>
          <w:sz w:val="22"/>
          <w:szCs w:val="22"/>
        </w:rPr>
        <w:t>in order to</w:t>
      </w:r>
      <w:proofErr w:type="gramEnd"/>
      <w:r>
        <w:rPr>
          <w:rFonts w:ascii="Arial" w:hAnsi="Arial" w:cs="Arial"/>
          <w:sz w:val="22"/>
          <w:szCs w:val="22"/>
        </w:rPr>
        <w:t xml:space="preserve"> present a single "face" to the external market for OTC derivative trading. Where this is the case, we emphasise that the shift in the calculation methodology for NFCs to an entity specific focus would be of limited benefit</w:t>
      </w:r>
      <w:r w:rsidR="00F2169D">
        <w:rPr>
          <w:rFonts w:ascii="Arial" w:hAnsi="Arial" w:cs="Arial"/>
          <w:sz w:val="22"/>
          <w:szCs w:val="22"/>
        </w:rPr>
        <w:t xml:space="preserve"> in respect of the activity to be included in the calculation</w:t>
      </w:r>
      <w:r>
        <w:rPr>
          <w:rFonts w:ascii="Arial" w:hAnsi="Arial" w:cs="Arial"/>
          <w:sz w:val="22"/>
          <w:szCs w:val="22"/>
        </w:rPr>
        <w:t>.</w:t>
      </w:r>
      <w:r w:rsidR="00267CDD">
        <w:rPr>
          <w:rFonts w:ascii="Arial" w:hAnsi="Arial" w:cs="Arial"/>
          <w:sz w:val="22"/>
          <w:szCs w:val="22"/>
        </w:rPr>
        <w:t xml:space="preserve"> </w:t>
      </w:r>
      <w:r w:rsidR="0032394F">
        <w:rPr>
          <w:rFonts w:ascii="Arial" w:hAnsi="Arial" w:cs="Arial"/>
          <w:sz w:val="22"/>
          <w:szCs w:val="22"/>
        </w:rPr>
        <w:t>T</w:t>
      </w:r>
      <w:r>
        <w:rPr>
          <w:rFonts w:ascii="Arial" w:hAnsi="Arial" w:cs="Arial"/>
          <w:sz w:val="22"/>
          <w:szCs w:val="22"/>
        </w:rPr>
        <w:t xml:space="preserve">he proposed IRD and commodity threshold </w:t>
      </w:r>
      <w:r w:rsidR="0041167F">
        <w:rPr>
          <w:rFonts w:ascii="Arial" w:hAnsi="Arial" w:cs="Arial"/>
          <w:sz w:val="22"/>
          <w:szCs w:val="22"/>
        </w:rPr>
        <w:t>reductions</w:t>
      </w:r>
      <w:r>
        <w:rPr>
          <w:rFonts w:ascii="Arial" w:hAnsi="Arial" w:cs="Arial"/>
          <w:sz w:val="22"/>
          <w:szCs w:val="22"/>
        </w:rPr>
        <w:t xml:space="preserve"> would represent a significant reduction in the amount of trading activity that a group with an EU-established centralised trading entity could undertake without becoming an NFC+ </w:t>
      </w:r>
      <w:r w:rsidR="0041167F">
        <w:rPr>
          <w:rFonts w:ascii="Arial" w:hAnsi="Arial" w:cs="Arial"/>
          <w:sz w:val="22"/>
          <w:szCs w:val="22"/>
        </w:rPr>
        <w:t>which would have a</w:t>
      </w:r>
      <w:r>
        <w:rPr>
          <w:rFonts w:ascii="Arial" w:hAnsi="Arial" w:cs="Arial"/>
          <w:sz w:val="22"/>
          <w:szCs w:val="22"/>
        </w:rPr>
        <w:t xml:space="preserve"> detrimental impact on </w:t>
      </w:r>
      <w:r w:rsidR="007821BE">
        <w:rPr>
          <w:rFonts w:ascii="Arial" w:hAnsi="Arial" w:cs="Arial"/>
          <w:sz w:val="22"/>
          <w:szCs w:val="22"/>
        </w:rPr>
        <w:t xml:space="preserve">these </w:t>
      </w:r>
      <w:r>
        <w:rPr>
          <w:rFonts w:ascii="Arial" w:hAnsi="Arial" w:cs="Arial"/>
          <w:sz w:val="22"/>
          <w:szCs w:val="22"/>
        </w:rPr>
        <w:t>market</w:t>
      </w:r>
      <w:r w:rsidR="007821BE">
        <w:rPr>
          <w:rFonts w:ascii="Arial" w:hAnsi="Arial" w:cs="Arial"/>
          <w:sz w:val="22"/>
          <w:szCs w:val="22"/>
        </w:rPr>
        <w:t>s</w:t>
      </w:r>
      <w:r>
        <w:rPr>
          <w:rFonts w:ascii="Arial" w:hAnsi="Arial" w:cs="Arial"/>
          <w:sz w:val="22"/>
          <w:szCs w:val="22"/>
        </w:rPr>
        <w:t>.</w:t>
      </w:r>
      <w:r w:rsidR="00267668">
        <w:rPr>
          <w:rFonts w:ascii="Arial" w:hAnsi="Arial" w:cs="Arial"/>
          <w:sz w:val="22"/>
          <w:szCs w:val="22"/>
        </w:rPr>
        <w:t xml:space="preserve"> This </w:t>
      </w:r>
      <w:r w:rsidR="00F57636">
        <w:rPr>
          <w:rFonts w:ascii="Arial" w:hAnsi="Arial" w:cs="Arial"/>
          <w:sz w:val="22"/>
          <w:szCs w:val="22"/>
        </w:rPr>
        <w:t>is</w:t>
      </w:r>
      <w:r w:rsidR="00267668">
        <w:rPr>
          <w:rFonts w:ascii="Arial" w:hAnsi="Arial" w:cs="Arial"/>
          <w:sz w:val="22"/>
          <w:szCs w:val="22"/>
        </w:rPr>
        <w:t xml:space="preserve"> contrary to the European Commission's growth agenda.</w:t>
      </w:r>
    </w:p>
    <w:p w14:paraId="5500BDCB" w14:textId="77777777" w:rsidR="00697C5D" w:rsidRDefault="00697C5D" w:rsidP="00F42D0B">
      <w:pPr>
        <w:spacing w:after="0"/>
        <w:jc w:val="both"/>
        <w:rPr>
          <w:rFonts w:ascii="Arial" w:hAnsi="Arial" w:cs="Arial"/>
          <w:sz w:val="22"/>
          <w:szCs w:val="22"/>
        </w:rPr>
      </w:pPr>
    </w:p>
    <w:p w14:paraId="69F519AD" w14:textId="237DFEFF" w:rsidR="00432C9A" w:rsidRDefault="00697C5D" w:rsidP="00275E29">
      <w:pPr>
        <w:spacing w:after="0"/>
        <w:jc w:val="both"/>
        <w:rPr>
          <w:rFonts w:ascii="Arial" w:hAnsi="Arial" w:cs="Arial"/>
          <w:b/>
          <w:bCs/>
          <w:sz w:val="22"/>
          <w:szCs w:val="22"/>
          <w:u w:val="single"/>
        </w:rPr>
      </w:pPr>
      <w:r w:rsidRPr="00697C5D">
        <w:rPr>
          <w:rFonts w:ascii="Arial" w:hAnsi="Arial" w:cs="Arial"/>
          <w:b/>
          <w:bCs/>
          <w:sz w:val="22"/>
          <w:szCs w:val="22"/>
          <w:u w:val="single"/>
        </w:rPr>
        <w:t>IRDs</w:t>
      </w:r>
    </w:p>
    <w:p w14:paraId="3E99D381" w14:textId="77777777" w:rsidR="00275E29" w:rsidRPr="00275E29" w:rsidRDefault="00275E29" w:rsidP="00275E29">
      <w:pPr>
        <w:spacing w:after="0"/>
        <w:jc w:val="both"/>
        <w:rPr>
          <w:rFonts w:ascii="Arial" w:hAnsi="Arial" w:cs="Arial"/>
          <w:b/>
          <w:bCs/>
          <w:sz w:val="22"/>
          <w:szCs w:val="22"/>
          <w:u w:val="single"/>
        </w:rPr>
      </w:pPr>
    </w:p>
    <w:p w14:paraId="13734418" w14:textId="77777777" w:rsidR="006A23CF" w:rsidRDefault="00F2713D" w:rsidP="00BE4C50">
      <w:pPr>
        <w:jc w:val="both"/>
        <w:rPr>
          <w:rFonts w:ascii="Arial" w:hAnsi="Arial" w:cs="Arial"/>
          <w:sz w:val="22"/>
          <w:szCs w:val="22"/>
        </w:rPr>
      </w:pPr>
      <w:r>
        <w:rPr>
          <w:rFonts w:ascii="Arial" w:hAnsi="Arial" w:cs="Arial"/>
          <w:sz w:val="22"/>
          <w:szCs w:val="22"/>
        </w:rPr>
        <w:t>We recognise that</w:t>
      </w:r>
      <w:r w:rsidR="00DC683C">
        <w:rPr>
          <w:rFonts w:ascii="Arial" w:hAnsi="Arial" w:cs="Arial"/>
          <w:sz w:val="22"/>
          <w:szCs w:val="22"/>
        </w:rPr>
        <w:t xml:space="preserve"> ESMA has referred to data/ simulations in respect of the</w:t>
      </w:r>
      <w:r w:rsidR="00AD1DBE">
        <w:rPr>
          <w:rFonts w:ascii="Arial" w:hAnsi="Arial" w:cs="Arial"/>
          <w:sz w:val="22"/>
          <w:szCs w:val="22"/>
        </w:rPr>
        <w:t xml:space="preserve"> </w:t>
      </w:r>
      <w:r w:rsidR="00DC683C">
        <w:rPr>
          <w:rFonts w:ascii="Arial" w:hAnsi="Arial" w:cs="Arial"/>
          <w:sz w:val="22"/>
          <w:szCs w:val="22"/>
        </w:rPr>
        <w:t xml:space="preserve">population of entities and notional captured under the current methodology to propose new uncleared thresholds </w:t>
      </w:r>
      <w:r w:rsidR="00AD1DBE">
        <w:rPr>
          <w:rFonts w:ascii="Arial" w:hAnsi="Arial" w:cs="Arial"/>
          <w:sz w:val="22"/>
          <w:szCs w:val="22"/>
        </w:rPr>
        <w:t>that capture</w:t>
      </w:r>
      <w:r w:rsidR="00DC683C">
        <w:rPr>
          <w:rFonts w:ascii="Arial" w:hAnsi="Arial" w:cs="Arial"/>
          <w:sz w:val="22"/>
          <w:szCs w:val="22"/>
        </w:rPr>
        <w:t xml:space="preserve"> a similar population. </w:t>
      </w:r>
    </w:p>
    <w:p w14:paraId="5ECDAAB6" w14:textId="0B160E22" w:rsidR="00337C0F" w:rsidRDefault="004500FE" w:rsidP="00BE4C50">
      <w:pPr>
        <w:jc w:val="both"/>
        <w:rPr>
          <w:rFonts w:ascii="Arial" w:hAnsi="Arial" w:cs="Arial"/>
          <w:sz w:val="22"/>
          <w:szCs w:val="22"/>
        </w:rPr>
      </w:pPr>
      <w:r>
        <w:rPr>
          <w:rFonts w:ascii="Arial" w:hAnsi="Arial" w:cs="Arial"/>
          <w:sz w:val="22"/>
          <w:szCs w:val="22"/>
        </w:rPr>
        <w:t>However, we</w:t>
      </w:r>
      <w:r w:rsidR="00E723CB">
        <w:rPr>
          <w:rFonts w:ascii="Arial" w:hAnsi="Arial" w:cs="Arial"/>
          <w:sz w:val="22"/>
          <w:szCs w:val="22"/>
        </w:rPr>
        <w:t xml:space="preserve"> </w:t>
      </w:r>
      <w:r w:rsidR="009D5490">
        <w:rPr>
          <w:rFonts w:ascii="Arial" w:hAnsi="Arial" w:cs="Arial"/>
          <w:sz w:val="22"/>
          <w:szCs w:val="22"/>
        </w:rPr>
        <w:t xml:space="preserve">would </w:t>
      </w:r>
      <w:r w:rsidR="00E723CB">
        <w:rPr>
          <w:rFonts w:ascii="Arial" w:hAnsi="Arial" w:cs="Arial"/>
          <w:sz w:val="22"/>
          <w:szCs w:val="22"/>
        </w:rPr>
        <w:t xml:space="preserve">encourage ESMA </w:t>
      </w:r>
      <w:r>
        <w:rPr>
          <w:rFonts w:ascii="Arial" w:hAnsi="Arial" w:cs="Arial"/>
          <w:sz w:val="22"/>
          <w:szCs w:val="22"/>
        </w:rPr>
        <w:t xml:space="preserve">also </w:t>
      </w:r>
      <w:r w:rsidR="00E723CB">
        <w:rPr>
          <w:rFonts w:ascii="Arial" w:hAnsi="Arial" w:cs="Arial"/>
          <w:sz w:val="22"/>
          <w:szCs w:val="22"/>
        </w:rPr>
        <w:t xml:space="preserve">to consider </w:t>
      </w:r>
      <w:r w:rsidR="00771CBF">
        <w:rPr>
          <w:rFonts w:ascii="Arial" w:hAnsi="Arial" w:cs="Arial"/>
          <w:sz w:val="22"/>
          <w:szCs w:val="22"/>
        </w:rPr>
        <w:t>the significant inflationary pressures in the IRD market</w:t>
      </w:r>
      <w:r>
        <w:rPr>
          <w:rFonts w:ascii="Arial" w:hAnsi="Arial" w:cs="Arial"/>
          <w:sz w:val="22"/>
          <w:szCs w:val="22"/>
        </w:rPr>
        <w:t xml:space="preserve"> and the fact that </w:t>
      </w:r>
      <w:r w:rsidR="00771CBF">
        <w:rPr>
          <w:rFonts w:ascii="Arial" w:hAnsi="Arial" w:cs="Arial"/>
          <w:sz w:val="22"/>
          <w:szCs w:val="22"/>
        </w:rPr>
        <w:t xml:space="preserve">the IRD threshold has not changed since it was set in 2012. </w:t>
      </w:r>
      <w:r w:rsidR="00337C0F">
        <w:rPr>
          <w:rFonts w:ascii="Arial" w:hAnsi="Arial" w:cs="Arial"/>
          <w:sz w:val="22"/>
          <w:szCs w:val="22"/>
        </w:rPr>
        <w:t>The current interest rate environment</w:t>
      </w:r>
      <w:proofErr w:type="gramStart"/>
      <w:r w:rsidR="006A23CF">
        <w:rPr>
          <w:rFonts w:ascii="Arial" w:hAnsi="Arial" w:cs="Arial"/>
          <w:sz w:val="22"/>
          <w:szCs w:val="22"/>
        </w:rPr>
        <w:t>, in particular,</w:t>
      </w:r>
      <w:r w:rsidR="00337C0F">
        <w:rPr>
          <w:rFonts w:ascii="Arial" w:hAnsi="Arial" w:cs="Arial"/>
          <w:sz w:val="22"/>
          <w:szCs w:val="22"/>
        </w:rPr>
        <w:t xml:space="preserve"> has</w:t>
      </w:r>
      <w:proofErr w:type="gramEnd"/>
      <w:r w:rsidR="00337C0F">
        <w:rPr>
          <w:rFonts w:ascii="Arial" w:hAnsi="Arial" w:cs="Arial"/>
          <w:sz w:val="22"/>
          <w:szCs w:val="22"/>
        </w:rPr>
        <w:t xml:space="preserve"> </w:t>
      </w:r>
      <w:r w:rsidR="00DB12BD">
        <w:rPr>
          <w:rFonts w:ascii="Arial" w:hAnsi="Arial" w:cs="Arial"/>
          <w:sz w:val="22"/>
          <w:szCs w:val="22"/>
        </w:rPr>
        <w:t xml:space="preserve">also </w:t>
      </w:r>
      <w:r w:rsidR="00337C0F">
        <w:rPr>
          <w:rFonts w:ascii="Arial" w:hAnsi="Arial" w:cs="Arial"/>
          <w:sz w:val="22"/>
          <w:szCs w:val="22"/>
        </w:rPr>
        <w:t xml:space="preserve">significantly increased nominal cash flows leading to greater </w:t>
      </w:r>
      <w:r w:rsidR="00422B76">
        <w:rPr>
          <w:rFonts w:ascii="Arial" w:hAnsi="Arial" w:cs="Arial"/>
          <w:sz w:val="22"/>
          <w:szCs w:val="22"/>
        </w:rPr>
        <w:t xml:space="preserve">need to manage </w:t>
      </w:r>
      <w:r w:rsidR="001B60D5">
        <w:rPr>
          <w:rFonts w:ascii="Arial" w:hAnsi="Arial" w:cs="Arial"/>
          <w:sz w:val="22"/>
          <w:szCs w:val="22"/>
        </w:rPr>
        <w:t>risk</w:t>
      </w:r>
      <w:r w:rsidR="00422B76">
        <w:rPr>
          <w:rFonts w:ascii="Arial" w:hAnsi="Arial" w:cs="Arial"/>
          <w:sz w:val="22"/>
          <w:szCs w:val="22"/>
        </w:rPr>
        <w:t>s through derivative trading</w:t>
      </w:r>
      <w:r w:rsidR="00C8110F">
        <w:rPr>
          <w:rFonts w:ascii="Arial" w:hAnsi="Arial" w:cs="Arial"/>
          <w:sz w:val="22"/>
          <w:szCs w:val="22"/>
        </w:rPr>
        <w:t xml:space="preserve"> </w:t>
      </w:r>
      <w:r w:rsidR="00337C0F">
        <w:rPr>
          <w:rFonts w:ascii="Arial" w:hAnsi="Arial" w:cs="Arial"/>
          <w:sz w:val="22"/>
          <w:szCs w:val="22"/>
        </w:rPr>
        <w:t>even when real exposures remain constant. This is particularly relevant for inflation-sensitive sectors, wher</w:t>
      </w:r>
      <w:r w:rsidR="00B45F72">
        <w:rPr>
          <w:rFonts w:ascii="Arial" w:hAnsi="Arial" w:cs="Arial"/>
          <w:sz w:val="22"/>
          <w:szCs w:val="22"/>
        </w:rPr>
        <w:t>e</w:t>
      </w:r>
      <w:r w:rsidR="00337C0F">
        <w:rPr>
          <w:rFonts w:ascii="Arial" w:hAnsi="Arial" w:cs="Arial"/>
          <w:sz w:val="22"/>
          <w:szCs w:val="22"/>
        </w:rPr>
        <w:t xml:space="preserve"> </w:t>
      </w:r>
      <w:proofErr w:type="spellStart"/>
      <w:r w:rsidR="00337C0F">
        <w:rPr>
          <w:rFonts w:ascii="Arial" w:hAnsi="Arial" w:cs="Arial"/>
          <w:sz w:val="22"/>
          <w:szCs w:val="22"/>
        </w:rPr>
        <w:t>notionals</w:t>
      </w:r>
      <w:proofErr w:type="spellEnd"/>
      <w:r w:rsidR="00337C0F">
        <w:rPr>
          <w:rFonts w:ascii="Arial" w:hAnsi="Arial" w:cs="Arial"/>
          <w:sz w:val="22"/>
          <w:szCs w:val="22"/>
        </w:rPr>
        <w:t xml:space="preserve"> have increased due to rising real costs rather than speculation.</w:t>
      </w:r>
      <w:r w:rsidR="006A23CF">
        <w:rPr>
          <w:rFonts w:ascii="Arial" w:hAnsi="Arial" w:cs="Arial"/>
          <w:sz w:val="22"/>
          <w:szCs w:val="22"/>
        </w:rPr>
        <w:t xml:space="preserve"> This type of risk management will not generally qualify for the hedging exemption and will continue to count against the clearing threshold.</w:t>
      </w:r>
    </w:p>
    <w:p w14:paraId="1F435952" w14:textId="25AEF56A" w:rsidR="00B45F72" w:rsidRDefault="00B45F72" w:rsidP="00BE4C50">
      <w:pPr>
        <w:jc w:val="both"/>
        <w:rPr>
          <w:rFonts w:ascii="Arial" w:hAnsi="Arial" w:cs="Arial"/>
          <w:sz w:val="22"/>
          <w:szCs w:val="22"/>
        </w:rPr>
      </w:pPr>
      <w:r>
        <w:rPr>
          <w:rFonts w:ascii="Arial" w:hAnsi="Arial" w:cs="Arial"/>
          <w:sz w:val="22"/>
          <w:szCs w:val="22"/>
        </w:rPr>
        <w:t>We also note that t</w:t>
      </w:r>
      <w:r w:rsidR="00294B32">
        <w:rPr>
          <w:rFonts w:ascii="Arial" w:hAnsi="Arial" w:cs="Arial"/>
          <w:sz w:val="22"/>
          <w:szCs w:val="22"/>
        </w:rPr>
        <w:t xml:space="preserve">he revised methodology does not reduce the practical regulatory burden for </w:t>
      </w:r>
      <w:r w:rsidR="006A23CF">
        <w:rPr>
          <w:rFonts w:ascii="Arial" w:hAnsi="Arial" w:cs="Arial"/>
          <w:sz w:val="22"/>
          <w:szCs w:val="22"/>
        </w:rPr>
        <w:t>NFCs</w:t>
      </w:r>
      <w:r w:rsidR="00294B32">
        <w:rPr>
          <w:rFonts w:ascii="Arial" w:hAnsi="Arial" w:cs="Arial"/>
          <w:sz w:val="22"/>
          <w:szCs w:val="22"/>
        </w:rPr>
        <w:t xml:space="preserve">. Transactions, which are typically bilateral under an ISDA Master </w:t>
      </w:r>
      <w:proofErr w:type="gramStart"/>
      <w:r w:rsidR="00294B32">
        <w:rPr>
          <w:rFonts w:ascii="Arial" w:hAnsi="Arial" w:cs="Arial"/>
          <w:sz w:val="22"/>
          <w:szCs w:val="22"/>
        </w:rPr>
        <w:t>Agreement</w:t>
      </w:r>
      <w:proofErr w:type="gramEnd"/>
      <w:r w:rsidR="00294B32">
        <w:rPr>
          <w:rFonts w:ascii="Arial" w:hAnsi="Arial" w:cs="Arial"/>
          <w:sz w:val="22"/>
          <w:szCs w:val="22"/>
        </w:rPr>
        <w:t xml:space="preserve"> and which are CSA-backed</w:t>
      </w:r>
      <w:r w:rsidR="00DB12BD">
        <w:rPr>
          <w:rFonts w:ascii="Arial" w:hAnsi="Arial" w:cs="Arial"/>
          <w:sz w:val="22"/>
          <w:szCs w:val="22"/>
        </w:rPr>
        <w:t>,</w:t>
      </w:r>
      <w:r w:rsidR="00294B32">
        <w:rPr>
          <w:rFonts w:ascii="Arial" w:hAnsi="Arial" w:cs="Arial"/>
          <w:sz w:val="22"/>
          <w:szCs w:val="22"/>
        </w:rPr>
        <w:t xml:space="preserve"> have always been uncleared and continue to count fully toward the threshold (except where they count as hedging or treasury financing for NFC</w:t>
      </w:r>
      <w:r w:rsidR="00337C0F">
        <w:rPr>
          <w:rFonts w:ascii="Arial" w:hAnsi="Arial" w:cs="Arial"/>
          <w:sz w:val="22"/>
          <w:szCs w:val="22"/>
        </w:rPr>
        <w:t>s</w:t>
      </w:r>
      <w:r w:rsidR="00294B32">
        <w:rPr>
          <w:rFonts w:ascii="Arial" w:hAnsi="Arial" w:cs="Arial"/>
          <w:sz w:val="22"/>
          <w:szCs w:val="22"/>
        </w:rPr>
        <w:t>). Therefore, in practice, the burden remains unchanged and there does not appear to be any compelling reasoning put forward to justify the threshold reduction.</w:t>
      </w:r>
      <w:r>
        <w:rPr>
          <w:rFonts w:ascii="Arial" w:hAnsi="Arial" w:cs="Arial"/>
          <w:sz w:val="22"/>
          <w:szCs w:val="22"/>
        </w:rPr>
        <w:t xml:space="preserve"> </w:t>
      </w:r>
    </w:p>
    <w:p w14:paraId="4C6005A7" w14:textId="6B405D2C" w:rsidR="00294B32" w:rsidRDefault="00B45F72" w:rsidP="00BE4C50">
      <w:pPr>
        <w:jc w:val="both"/>
        <w:rPr>
          <w:rFonts w:ascii="Arial" w:hAnsi="Arial" w:cs="Arial"/>
          <w:sz w:val="22"/>
          <w:szCs w:val="22"/>
        </w:rPr>
      </w:pPr>
      <w:r>
        <w:rPr>
          <w:rFonts w:ascii="Arial" w:hAnsi="Arial" w:cs="Arial"/>
          <w:sz w:val="22"/>
          <w:szCs w:val="22"/>
        </w:rPr>
        <w:t>In our view, these factors require a higher uncleared threshold to be set than proposed.</w:t>
      </w:r>
    </w:p>
    <w:p w14:paraId="5047F1E2" w14:textId="710601BA" w:rsidR="00BE4C50" w:rsidRPr="00BE4C50" w:rsidRDefault="00DC683C" w:rsidP="00BE4C50">
      <w:pPr>
        <w:jc w:val="both"/>
        <w:rPr>
          <w:rFonts w:ascii="Arial" w:hAnsi="Arial" w:cs="Arial"/>
          <w:sz w:val="22"/>
          <w:szCs w:val="22"/>
        </w:rPr>
      </w:pPr>
      <w:r>
        <w:rPr>
          <w:rFonts w:ascii="Arial" w:hAnsi="Arial" w:cs="Arial"/>
          <w:sz w:val="22"/>
          <w:szCs w:val="22"/>
        </w:rPr>
        <w:t xml:space="preserve">Based on the above, we would </w:t>
      </w:r>
      <w:r w:rsidR="000D2C15">
        <w:rPr>
          <w:rFonts w:ascii="Arial" w:hAnsi="Arial" w:cs="Arial"/>
          <w:sz w:val="22"/>
          <w:szCs w:val="22"/>
        </w:rPr>
        <w:t>strongly recommend</w:t>
      </w:r>
      <w:r>
        <w:rPr>
          <w:rFonts w:ascii="Arial" w:hAnsi="Arial" w:cs="Arial"/>
          <w:sz w:val="22"/>
          <w:szCs w:val="22"/>
        </w:rPr>
        <w:t xml:space="preserve"> </w:t>
      </w:r>
      <w:r w:rsidR="000D2C15">
        <w:rPr>
          <w:rFonts w:ascii="Arial" w:hAnsi="Arial" w:cs="Arial"/>
          <w:sz w:val="22"/>
          <w:szCs w:val="22"/>
        </w:rPr>
        <w:t xml:space="preserve">that </w:t>
      </w:r>
      <w:r>
        <w:rPr>
          <w:rFonts w:ascii="Arial" w:hAnsi="Arial" w:cs="Arial"/>
          <w:sz w:val="22"/>
          <w:szCs w:val="22"/>
        </w:rPr>
        <w:t>ESMA set the uncleared threshold in respect of IRDs at EUR 3 billion as opposed to lowering this to EUR 1.8 billion</w:t>
      </w:r>
      <w:r w:rsidR="00E723CB">
        <w:rPr>
          <w:rFonts w:ascii="Arial" w:hAnsi="Arial" w:cs="Arial"/>
          <w:sz w:val="22"/>
          <w:szCs w:val="22"/>
        </w:rPr>
        <w:t>.</w:t>
      </w:r>
    </w:p>
    <w:p w14:paraId="0FA3F801" w14:textId="4A41C59D" w:rsidR="00697C5D" w:rsidRPr="00697C5D" w:rsidRDefault="00697C5D" w:rsidP="00F42D0B">
      <w:pPr>
        <w:spacing w:after="0"/>
        <w:jc w:val="both"/>
        <w:rPr>
          <w:rFonts w:ascii="Arial" w:hAnsi="Arial" w:cs="Arial"/>
          <w:b/>
          <w:bCs/>
          <w:sz w:val="22"/>
          <w:szCs w:val="22"/>
          <w:u w:val="single"/>
        </w:rPr>
      </w:pPr>
      <w:r w:rsidRPr="00697C5D">
        <w:rPr>
          <w:rFonts w:ascii="Arial" w:hAnsi="Arial" w:cs="Arial"/>
          <w:b/>
          <w:bCs/>
          <w:sz w:val="22"/>
          <w:szCs w:val="22"/>
          <w:u w:val="single"/>
        </w:rPr>
        <w:t>Commodities</w:t>
      </w:r>
    </w:p>
    <w:p w14:paraId="42CC9129" w14:textId="77777777" w:rsidR="00A771D9" w:rsidRDefault="00A771D9" w:rsidP="00F42D0B">
      <w:pPr>
        <w:spacing w:after="0"/>
        <w:jc w:val="both"/>
        <w:rPr>
          <w:rFonts w:ascii="Arial" w:hAnsi="Arial" w:cs="Arial"/>
          <w:sz w:val="22"/>
          <w:szCs w:val="22"/>
        </w:rPr>
      </w:pPr>
    </w:p>
    <w:p w14:paraId="4C713B34" w14:textId="17A2F519" w:rsidR="002E3D16" w:rsidRDefault="00DB4C8A" w:rsidP="00A771D9">
      <w:pPr>
        <w:pStyle w:val="ListParagraph"/>
        <w:numPr>
          <w:ilvl w:val="0"/>
          <w:numId w:val="14"/>
        </w:numPr>
        <w:spacing w:after="0"/>
        <w:jc w:val="both"/>
        <w:rPr>
          <w:rFonts w:ascii="Arial" w:hAnsi="Arial" w:cs="Arial"/>
          <w:sz w:val="22"/>
          <w:szCs w:val="22"/>
        </w:rPr>
      </w:pPr>
      <w:r w:rsidRPr="00DB4C8A">
        <w:rPr>
          <w:rFonts w:ascii="Arial" w:hAnsi="Arial" w:cs="Arial"/>
          <w:b/>
          <w:bCs/>
          <w:sz w:val="22"/>
          <w:szCs w:val="22"/>
        </w:rPr>
        <w:t>Th</w:t>
      </w:r>
      <w:r w:rsidR="00A771D9" w:rsidRPr="00DB4C8A">
        <w:rPr>
          <w:rFonts w:ascii="Arial" w:hAnsi="Arial" w:cs="Arial"/>
          <w:b/>
          <w:bCs/>
          <w:sz w:val="22"/>
          <w:szCs w:val="22"/>
        </w:rPr>
        <w:t>e commodities market has burgeoned both in terms of demand and</w:t>
      </w:r>
      <w:r w:rsidR="00640EF3" w:rsidRPr="00DB4C8A">
        <w:rPr>
          <w:rFonts w:ascii="Arial" w:hAnsi="Arial" w:cs="Arial"/>
          <w:b/>
          <w:bCs/>
          <w:sz w:val="22"/>
          <w:szCs w:val="22"/>
        </w:rPr>
        <w:t xml:space="preserve"> </w:t>
      </w:r>
      <w:r w:rsidR="00A771D9" w:rsidRPr="00DB4C8A">
        <w:rPr>
          <w:rFonts w:ascii="Arial" w:hAnsi="Arial" w:cs="Arial"/>
          <w:b/>
          <w:bCs/>
          <w:sz w:val="22"/>
          <w:szCs w:val="22"/>
        </w:rPr>
        <w:t>pricing</w:t>
      </w:r>
      <w:r w:rsidRPr="00DB4C8A">
        <w:rPr>
          <w:rFonts w:ascii="Arial" w:hAnsi="Arial" w:cs="Arial"/>
          <w:b/>
          <w:bCs/>
          <w:sz w:val="22"/>
          <w:szCs w:val="22"/>
        </w:rPr>
        <w:t xml:space="preserve"> since the thresholds were initially set in 2012</w:t>
      </w:r>
      <w:r w:rsidR="00A771D9">
        <w:rPr>
          <w:rFonts w:ascii="Arial" w:hAnsi="Arial" w:cs="Arial"/>
          <w:sz w:val="22"/>
          <w:szCs w:val="22"/>
        </w:rPr>
        <w:t xml:space="preserve">. </w:t>
      </w:r>
    </w:p>
    <w:p w14:paraId="399B3339" w14:textId="77777777" w:rsidR="009B358E" w:rsidRDefault="009B358E" w:rsidP="009B358E">
      <w:pPr>
        <w:pStyle w:val="ListParagraph"/>
        <w:spacing w:after="0"/>
        <w:ind w:left="783"/>
        <w:jc w:val="both"/>
        <w:rPr>
          <w:rFonts w:ascii="Arial" w:hAnsi="Arial" w:cs="Arial"/>
          <w:sz w:val="22"/>
          <w:szCs w:val="22"/>
        </w:rPr>
      </w:pPr>
    </w:p>
    <w:p w14:paraId="0E6D6A51" w14:textId="662EDAEF" w:rsidR="00C55D68" w:rsidRDefault="00AD4AEE" w:rsidP="009B358E">
      <w:pPr>
        <w:pStyle w:val="ListParagraph"/>
        <w:spacing w:after="0"/>
        <w:ind w:left="783"/>
        <w:jc w:val="both"/>
        <w:rPr>
          <w:rFonts w:ascii="Arial" w:hAnsi="Arial" w:cs="Arial"/>
          <w:sz w:val="22"/>
          <w:szCs w:val="22"/>
        </w:rPr>
      </w:pPr>
      <w:r>
        <w:rPr>
          <w:rFonts w:ascii="Arial" w:hAnsi="Arial" w:cs="Arial"/>
          <w:sz w:val="22"/>
          <w:szCs w:val="22"/>
        </w:rPr>
        <w:t>I</w:t>
      </w:r>
      <w:r w:rsidR="009B358E">
        <w:rPr>
          <w:rFonts w:ascii="Arial" w:hAnsi="Arial" w:cs="Arial"/>
          <w:sz w:val="22"/>
          <w:szCs w:val="22"/>
        </w:rPr>
        <w:t>n 2022</w:t>
      </w:r>
      <w:r>
        <w:rPr>
          <w:rFonts w:ascii="Arial" w:hAnsi="Arial" w:cs="Arial"/>
          <w:sz w:val="22"/>
          <w:szCs w:val="22"/>
        </w:rPr>
        <w:t>,</w:t>
      </w:r>
      <w:r w:rsidR="009B358E">
        <w:rPr>
          <w:rFonts w:ascii="Arial" w:hAnsi="Arial" w:cs="Arial"/>
          <w:sz w:val="22"/>
          <w:szCs w:val="22"/>
        </w:rPr>
        <w:t xml:space="preserve"> Energy Traders Europe commissioned Frontier Economics to conduct a study on the EMIR commodity clearing threshold (</w:t>
      </w:r>
      <w:r w:rsidR="00395B13">
        <w:rPr>
          <w:rFonts w:ascii="Arial" w:hAnsi="Arial" w:cs="Arial"/>
          <w:sz w:val="22"/>
          <w:szCs w:val="22"/>
        </w:rPr>
        <w:t>the "</w:t>
      </w:r>
      <w:r w:rsidR="00BF416F">
        <w:rPr>
          <w:rFonts w:ascii="Arial" w:hAnsi="Arial" w:cs="Arial"/>
          <w:b/>
          <w:bCs/>
          <w:sz w:val="22"/>
          <w:szCs w:val="22"/>
        </w:rPr>
        <w:t>EMIR</w:t>
      </w:r>
      <w:r w:rsidR="00395B13" w:rsidRPr="00395B13">
        <w:rPr>
          <w:rFonts w:ascii="Arial" w:hAnsi="Arial" w:cs="Arial"/>
          <w:b/>
          <w:bCs/>
          <w:sz w:val="22"/>
          <w:szCs w:val="22"/>
        </w:rPr>
        <w:t xml:space="preserve"> Study</w:t>
      </w:r>
      <w:r w:rsidR="009B358E">
        <w:rPr>
          <w:rFonts w:ascii="Arial" w:hAnsi="Arial" w:cs="Arial"/>
          <w:sz w:val="22"/>
          <w:szCs w:val="22"/>
        </w:rPr>
        <w:t xml:space="preserve">"). The </w:t>
      </w:r>
      <w:r w:rsidR="00BF416F">
        <w:rPr>
          <w:rFonts w:ascii="Arial" w:hAnsi="Arial" w:cs="Arial"/>
          <w:sz w:val="22"/>
          <w:szCs w:val="22"/>
        </w:rPr>
        <w:t>EMIR S</w:t>
      </w:r>
      <w:r w:rsidR="009B358E">
        <w:rPr>
          <w:rFonts w:ascii="Arial" w:hAnsi="Arial" w:cs="Arial"/>
          <w:sz w:val="22"/>
          <w:szCs w:val="22"/>
        </w:rPr>
        <w:t xml:space="preserve">tudy </w:t>
      </w:r>
      <w:r>
        <w:rPr>
          <w:rFonts w:ascii="Arial" w:hAnsi="Arial" w:cs="Arial"/>
          <w:sz w:val="22"/>
          <w:szCs w:val="22"/>
        </w:rPr>
        <w:t xml:space="preserve">flags </w:t>
      </w:r>
      <w:r>
        <w:rPr>
          <w:rFonts w:ascii="Arial" w:hAnsi="Arial" w:cs="Arial"/>
          <w:sz w:val="22"/>
          <w:szCs w:val="22"/>
        </w:rPr>
        <w:lastRenderedPageBreak/>
        <w:t>that energy prices have been inflated to a multiple of their value in 2012.</w:t>
      </w:r>
      <w:r w:rsidR="00BE287E">
        <w:rPr>
          <w:rStyle w:val="FootnoteReference"/>
          <w:rFonts w:ascii="Arial" w:hAnsi="Arial" w:cs="Arial"/>
          <w:sz w:val="22"/>
          <w:szCs w:val="22"/>
        </w:rPr>
        <w:footnoteReference w:id="3"/>
      </w:r>
      <w:r w:rsidR="00BE287E">
        <w:rPr>
          <w:rFonts w:ascii="Arial" w:hAnsi="Arial" w:cs="Arial"/>
          <w:sz w:val="22"/>
          <w:szCs w:val="22"/>
        </w:rPr>
        <w:t xml:space="preserve"> </w:t>
      </w:r>
      <w:r>
        <w:rPr>
          <w:rFonts w:ascii="Arial" w:hAnsi="Arial" w:cs="Arial"/>
          <w:sz w:val="22"/>
          <w:szCs w:val="22"/>
        </w:rPr>
        <w:t>There is therefore a drastic decline in tradable quantities under a EUR 3 billion threshold in comparison to 2012.</w:t>
      </w:r>
      <w:r w:rsidR="00BC33A3">
        <w:rPr>
          <w:rFonts w:ascii="Arial" w:hAnsi="Arial" w:cs="Arial"/>
          <w:sz w:val="22"/>
          <w:szCs w:val="22"/>
        </w:rPr>
        <w:t xml:space="preserve"> </w:t>
      </w:r>
      <w:r w:rsidR="0038322C">
        <w:rPr>
          <w:rFonts w:ascii="Arial" w:hAnsi="Arial" w:cs="Arial"/>
          <w:sz w:val="22"/>
          <w:szCs w:val="22"/>
        </w:rPr>
        <w:t xml:space="preserve">To compare, in 2012, the EUR 3 billion threshold allowed trading in OTC </w:t>
      </w:r>
      <w:r w:rsidR="00480097">
        <w:rPr>
          <w:rFonts w:ascii="Arial" w:hAnsi="Arial" w:cs="Arial"/>
          <w:sz w:val="22"/>
          <w:szCs w:val="22"/>
        </w:rPr>
        <w:t>derivatives</w:t>
      </w:r>
      <w:r w:rsidR="0038322C">
        <w:rPr>
          <w:rFonts w:ascii="Arial" w:hAnsi="Arial" w:cs="Arial"/>
          <w:sz w:val="22"/>
          <w:szCs w:val="22"/>
        </w:rPr>
        <w:t xml:space="preserve"> of approximately 70 TWh</w:t>
      </w:r>
      <w:r w:rsidR="00480097">
        <w:rPr>
          <w:rFonts w:ascii="Arial" w:hAnsi="Arial" w:cs="Arial"/>
          <w:sz w:val="22"/>
          <w:szCs w:val="22"/>
        </w:rPr>
        <w:t xml:space="preserve"> compared to 11 TWh in 2022.</w:t>
      </w:r>
      <w:r w:rsidR="00480097">
        <w:rPr>
          <w:rStyle w:val="FootnoteReference"/>
          <w:rFonts w:ascii="Arial" w:hAnsi="Arial" w:cs="Arial"/>
          <w:sz w:val="22"/>
          <w:szCs w:val="22"/>
        </w:rPr>
        <w:footnoteReference w:id="4"/>
      </w:r>
      <w:r w:rsidR="00480097">
        <w:rPr>
          <w:rFonts w:ascii="Arial" w:hAnsi="Arial" w:cs="Arial"/>
          <w:sz w:val="22"/>
          <w:szCs w:val="22"/>
        </w:rPr>
        <w:t xml:space="preserve"> </w:t>
      </w:r>
      <w:r>
        <w:rPr>
          <w:rFonts w:ascii="Arial" w:hAnsi="Arial" w:cs="Arial"/>
          <w:sz w:val="22"/>
          <w:szCs w:val="22"/>
        </w:rPr>
        <w:t xml:space="preserve">The </w:t>
      </w:r>
      <w:r w:rsidR="0038322C">
        <w:rPr>
          <w:rFonts w:ascii="Arial" w:hAnsi="Arial" w:cs="Arial"/>
          <w:sz w:val="22"/>
          <w:szCs w:val="22"/>
        </w:rPr>
        <w:t>EMIR S</w:t>
      </w:r>
      <w:r>
        <w:rPr>
          <w:rFonts w:ascii="Arial" w:hAnsi="Arial" w:cs="Arial"/>
          <w:sz w:val="22"/>
          <w:szCs w:val="22"/>
        </w:rPr>
        <w:t xml:space="preserve">tudy </w:t>
      </w:r>
      <w:r w:rsidR="00A57E7E">
        <w:rPr>
          <w:rFonts w:ascii="Arial" w:hAnsi="Arial" w:cs="Arial"/>
          <w:sz w:val="22"/>
          <w:szCs w:val="22"/>
        </w:rPr>
        <w:t xml:space="preserve">recommended </w:t>
      </w:r>
      <w:r>
        <w:rPr>
          <w:rFonts w:ascii="Arial" w:hAnsi="Arial" w:cs="Arial"/>
          <w:sz w:val="22"/>
          <w:szCs w:val="22"/>
        </w:rPr>
        <w:t>that in order to offset historical energy price inflation, support the EU energy transition, including the EU Green Deal</w:t>
      </w:r>
      <w:r w:rsidR="00D343E1">
        <w:rPr>
          <w:rFonts w:ascii="Arial" w:hAnsi="Arial" w:cs="Arial"/>
          <w:sz w:val="22"/>
          <w:szCs w:val="22"/>
        </w:rPr>
        <w:t>,</w:t>
      </w:r>
      <w:r w:rsidR="009624E8">
        <w:rPr>
          <w:rFonts w:ascii="Arial" w:hAnsi="Arial" w:cs="Arial"/>
          <w:sz w:val="22"/>
          <w:szCs w:val="22"/>
        </w:rPr>
        <w:t xml:space="preserve"> and enable competition with entities from other G20 jurisdictions, </w:t>
      </w:r>
      <w:r w:rsidR="00C30189">
        <w:rPr>
          <w:rFonts w:ascii="Arial" w:hAnsi="Arial" w:cs="Arial"/>
          <w:sz w:val="22"/>
          <w:szCs w:val="22"/>
        </w:rPr>
        <w:t xml:space="preserve">there should be an immediate increase of the EMIR </w:t>
      </w:r>
      <w:r w:rsidR="00677534">
        <w:rPr>
          <w:rFonts w:ascii="Arial" w:hAnsi="Arial" w:cs="Arial"/>
          <w:sz w:val="22"/>
          <w:szCs w:val="22"/>
        </w:rPr>
        <w:t>commodity clearing threshold</w:t>
      </w:r>
      <w:r w:rsidR="00C30189">
        <w:rPr>
          <w:rFonts w:ascii="Arial" w:hAnsi="Arial" w:cs="Arial"/>
          <w:sz w:val="22"/>
          <w:szCs w:val="22"/>
        </w:rPr>
        <w:t xml:space="preserve"> applicable to </w:t>
      </w:r>
      <w:r w:rsidR="00334E4D">
        <w:rPr>
          <w:rFonts w:ascii="Arial" w:hAnsi="Arial" w:cs="Arial"/>
          <w:sz w:val="22"/>
          <w:szCs w:val="22"/>
        </w:rPr>
        <w:t xml:space="preserve">NFCs </w:t>
      </w:r>
      <w:r w:rsidR="00C30189">
        <w:rPr>
          <w:rFonts w:ascii="Arial" w:hAnsi="Arial" w:cs="Arial"/>
          <w:sz w:val="22"/>
          <w:szCs w:val="22"/>
        </w:rPr>
        <w:t>to a minimum of EUR 12 billion.</w:t>
      </w:r>
      <w:r w:rsidR="00C162B8">
        <w:rPr>
          <w:rStyle w:val="FootnoteReference"/>
          <w:rFonts w:ascii="Arial" w:hAnsi="Arial" w:cs="Arial"/>
          <w:sz w:val="22"/>
          <w:szCs w:val="22"/>
        </w:rPr>
        <w:footnoteReference w:id="5"/>
      </w:r>
      <w:r w:rsidR="004D28A2">
        <w:rPr>
          <w:rFonts w:ascii="Arial" w:hAnsi="Arial" w:cs="Arial"/>
          <w:sz w:val="22"/>
          <w:szCs w:val="22"/>
        </w:rPr>
        <w:t xml:space="preserve"> This is a four-fold increase to ESMA's proposed threshold.</w:t>
      </w:r>
    </w:p>
    <w:p w14:paraId="572B84AC" w14:textId="77777777" w:rsidR="00C55D68" w:rsidRDefault="00C55D68" w:rsidP="009B358E">
      <w:pPr>
        <w:pStyle w:val="ListParagraph"/>
        <w:spacing w:after="0"/>
        <w:ind w:left="783"/>
        <w:jc w:val="both"/>
        <w:rPr>
          <w:rFonts w:ascii="Arial" w:hAnsi="Arial" w:cs="Arial"/>
          <w:sz w:val="22"/>
          <w:szCs w:val="22"/>
        </w:rPr>
      </w:pPr>
    </w:p>
    <w:p w14:paraId="7C43DFE3" w14:textId="29718044" w:rsidR="009B358E" w:rsidRDefault="001B3840" w:rsidP="009B358E">
      <w:pPr>
        <w:pStyle w:val="ListParagraph"/>
        <w:spacing w:after="0"/>
        <w:ind w:left="783"/>
        <w:jc w:val="both"/>
        <w:rPr>
          <w:rFonts w:ascii="Arial" w:hAnsi="Arial" w:cs="Arial"/>
          <w:sz w:val="22"/>
          <w:szCs w:val="22"/>
        </w:rPr>
      </w:pPr>
      <w:r>
        <w:rPr>
          <w:rFonts w:ascii="Arial" w:hAnsi="Arial" w:cs="Arial"/>
          <w:sz w:val="22"/>
          <w:szCs w:val="22"/>
        </w:rPr>
        <w:t xml:space="preserve">While we acknowledge that ESMA </w:t>
      </w:r>
      <w:r w:rsidR="005A3FED">
        <w:rPr>
          <w:rFonts w:ascii="Arial" w:hAnsi="Arial" w:cs="Arial"/>
          <w:sz w:val="22"/>
          <w:szCs w:val="22"/>
        </w:rPr>
        <w:t>has revised the calculation methodology and asset classes since this study was published</w:t>
      </w:r>
      <w:r w:rsidR="00574D78">
        <w:rPr>
          <w:rFonts w:ascii="Arial" w:hAnsi="Arial" w:cs="Arial"/>
          <w:sz w:val="22"/>
          <w:szCs w:val="22"/>
        </w:rPr>
        <w:t>,</w:t>
      </w:r>
      <w:r w:rsidR="005A3FED">
        <w:rPr>
          <w:rFonts w:ascii="Arial" w:hAnsi="Arial" w:cs="Arial"/>
          <w:sz w:val="22"/>
          <w:szCs w:val="22"/>
        </w:rPr>
        <w:t xml:space="preserve"> </w:t>
      </w:r>
      <w:r>
        <w:rPr>
          <w:rFonts w:ascii="Arial" w:hAnsi="Arial" w:cs="Arial"/>
          <w:sz w:val="22"/>
          <w:szCs w:val="22"/>
        </w:rPr>
        <w:t xml:space="preserve">we emphasise the </w:t>
      </w:r>
      <w:r w:rsidR="00E130DB">
        <w:rPr>
          <w:rFonts w:ascii="Arial" w:hAnsi="Arial" w:cs="Arial"/>
          <w:sz w:val="22"/>
          <w:szCs w:val="22"/>
        </w:rPr>
        <w:t>continuing</w:t>
      </w:r>
      <w:r>
        <w:rPr>
          <w:rFonts w:ascii="Arial" w:hAnsi="Arial" w:cs="Arial"/>
          <w:sz w:val="22"/>
          <w:szCs w:val="22"/>
        </w:rPr>
        <w:t xml:space="preserve"> inflationary pressures in this market in 2023 and 2024</w:t>
      </w:r>
      <w:r w:rsidR="00EE067E">
        <w:rPr>
          <w:rFonts w:ascii="Arial" w:hAnsi="Arial" w:cs="Arial"/>
          <w:sz w:val="22"/>
          <w:szCs w:val="22"/>
        </w:rPr>
        <w:t>.</w:t>
      </w:r>
      <w:r w:rsidR="00324E17">
        <w:rPr>
          <w:rFonts w:ascii="Arial" w:hAnsi="Arial" w:cs="Arial"/>
          <w:sz w:val="22"/>
          <w:szCs w:val="22"/>
        </w:rPr>
        <w:t xml:space="preserve"> </w:t>
      </w:r>
    </w:p>
    <w:p w14:paraId="7C5CBCE2" w14:textId="77777777" w:rsidR="00810B19" w:rsidRDefault="00810B19" w:rsidP="00810B19">
      <w:pPr>
        <w:pStyle w:val="ListParagraph"/>
        <w:spacing w:after="0"/>
        <w:ind w:left="783"/>
        <w:jc w:val="both"/>
        <w:rPr>
          <w:rFonts w:ascii="Arial" w:hAnsi="Arial" w:cs="Arial"/>
          <w:sz w:val="22"/>
          <w:szCs w:val="22"/>
        </w:rPr>
      </w:pPr>
    </w:p>
    <w:p w14:paraId="7A29896B" w14:textId="77777777" w:rsidR="00AC5F5E" w:rsidRDefault="00AC5F5E" w:rsidP="008D338F">
      <w:pPr>
        <w:pStyle w:val="ListParagraph"/>
        <w:numPr>
          <w:ilvl w:val="0"/>
          <w:numId w:val="14"/>
        </w:numPr>
        <w:spacing w:after="0"/>
        <w:jc w:val="both"/>
        <w:rPr>
          <w:rFonts w:ascii="Arial" w:hAnsi="Arial" w:cs="Arial"/>
          <w:sz w:val="22"/>
          <w:szCs w:val="22"/>
        </w:rPr>
      </w:pPr>
      <w:r w:rsidRPr="00AC5F5E">
        <w:rPr>
          <w:rFonts w:ascii="Arial" w:hAnsi="Arial" w:cs="Arial"/>
          <w:b/>
          <w:bCs/>
          <w:sz w:val="22"/>
          <w:szCs w:val="22"/>
        </w:rPr>
        <w:t>Th</w:t>
      </w:r>
      <w:r w:rsidR="002A0C7B" w:rsidRPr="00AC5F5E">
        <w:rPr>
          <w:rFonts w:ascii="Arial" w:hAnsi="Arial" w:cs="Arial"/>
          <w:b/>
          <w:bCs/>
          <w:sz w:val="22"/>
          <w:szCs w:val="22"/>
        </w:rPr>
        <w:t xml:space="preserve">e European commodities market </w:t>
      </w:r>
      <w:r w:rsidRPr="00AC5F5E">
        <w:rPr>
          <w:rFonts w:ascii="Arial" w:hAnsi="Arial" w:cs="Arial"/>
          <w:b/>
          <w:bCs/>
          <w:sz w:val="22"/>
          <w:szCs w:val="22"/>
        </w:rPr>
        <w:t xml:space="preserve">will otherwise be put </w:t>
      </w:r>
      <w:r w:rsidR="002A0C7B" w:rsidRPr="00AC5F5E">
        <w:rPr>
          <w:rFonts w:ascii="Arial" w:hAnsi="Arial" w:cs="Arial"/>
          <w:b/>
          <w:bCs/>
          <w:sz w:val="22"/>
          <w:szCs w:val="22"/>
        </w:rPr>
        <w:t xml:space="preserve">at a competitive disadvantage in comparison to other </w:t>
      </w:r>
      <w:r w:rsidR="000015B7" w:rsidRPr="00AC5F5E">
        <w:rPr>
          <w:rFonts w:ascii="Arial" w:hAnsi="Arial" w:cs="Arial"/>
          <w:b/>
          <w:bCs/>
          <w:sz w:val="22"/>
          <w:szCs w:val="22"/>
        </w:rPr>
        <w:t xml:space="preserve">commodities </w:t>
      </w:r>
      <w:r w:rsidR="002A0C7B" w:rsidRPr="00AC5F5E">
        <w:rPr>
          <w:rFonts w:ascii="Arial" w:hAnsi="Arial" w:cs="Arial"/>
          <w:b/>
          <w:bCs/>
          <w:sz w:val="22"/>
          <w:szCs w:val="22"/>
        </w:rPr>
        <w:t>markets</w:t>
      </w:r>
      <w:r w:rsidR="002A0C7B" w:rsidRPr="00BF416F">
        <w:rPr>
          <w:rFonts w:ascii="Arial" w:hAnsi="Arial" w:cs="Arial"/>
          <w:sz w:val="22"/>
          <w:szCs w:val="22"/>
        </w:rPr>
        <w:t xml:space="preserve">. </w:t>
      </w:r>
    </w:p>
    <w:p w14:paraId="0D635B4B" w14:textId="77777777" w:rsidR="00AC5F5E" w:rsidRDefault="00AC5F5E" w:rsidP="00AC5F5E">
      <w:pPr>
        <w:pStyle w:val="ListParagraph"/>
        <w:spacing w:after="0"/>
        <w:ind w:left="783"/>
        <w:jc w:val="both"/>
        <w:rPr>
          <w:rFonts w:ascii="Arial" w:hAnsi="Arial" w:cs="Arial"/>
          <w:b/>
          <w:bCs/>
          <w:sz w:val="22"/>
          <w:szCs w:val="22"/>
        </w:rPr>
      </w:pPr>
    </w:p>
    <w:p w14:paraId="1F1CEADF" w14:textId="2689BEA4" w:rsidR="00C55D68" w:rsidRDefault="00395B13" w:rsidP="00AC5F5E">
      <w:pPr>
        <w:pStyle w:val="ListParagraph"/>
        <w:spacing w:after="0"/>
        <w:ind w:left="783"/>
        <w:jc w:val="both"/>
        <w:rPr>
          <w:rFonts w:ascii="Arial" w:hAnsi="Arial" w:cs="Arial"/>
          <w:sz w:val="22"/>
          <w:szCs w:val="22"/>
        </w:rPr>
      </w:pPr>
      <w:r w:rsidRPr="00BF416F">
        <w:rPr>
          <w:rFonts w:ascii="Arial" w:hAnsi="Arial" w:cs="Arial"/>
          <w:sz w:val="22"/>
          <w:szCs w:val="22"/>
        </w:rPr>
        <w:t>As n</w:t>
      </w:r>
      <w:r w:rsidR="00BF416F" w:rsidRPr="00BF416F">
        <w:rPr>
          <w:rFonts w:ascii="Arial" w:hAnsi="Arial" w:cs="Arial"/>
          <w:sz w:val="22"/>
          <w:szCs w:val="22"/>
        </w:rPr>
        <w:t xml:space="preserve">oted above, the EMIR Study emphasises that </w:t>
      </w:r>
      <w:r w:rsidR="00BF416F">
        <w:rPr>
          <w:rFonts w:ascii="Arial" w:hAnsi="Arial" w:cs="Arial"/>
          <w:sz w:val="22"/>
          <w:szCs w:val="22"/>
        </w:rPr>
        <w:t xml:space="preserve">increasing the </w:t>
      </w:r>
      <w:r w:rsidR="005B7598">
        <w:rPr>
          <w:rFonts w:ascii="Arial" w:hAnsi="Arial" w:cs="Arial"/>
          <w:sz w:val="22"/>
          <w:szCs w:val="22"/>
        </w:rPr>
        <w:t xml:space="preserve">uncleared threshold for </w:t>
      </w:r>
      <w:r w:rsidR="00BF416F">
        <w:rPr>
          <w:rFonts w:ascii="Arial" w:hAnsi="Arial" w:cs="Arial"/>
          <w:sz w:val="22"/>
          <w:szCs w:val="22"/>
        </w:rPr>
        <w:t xml:space="preserve">commodity </w:t>
      </w:r>
      <w:r w:rsidR="005B7598">
        <w:rPr>
          <w:rFonts w:ascii="Arial" w:hAnsi="Arial" w:cs="Arial"/>
          <w:sz w:val="22"/>
          <w:szCs w:val="22"/>
        </w:rPr>
        <w:t>derivatives</w:t>
      </w:r>
      <w:r w:rsidR="00BF416F">
        <w:rPr>
          <w:rFonts w:ascii="Arial" w:hAnsi="Arial" w:cs="Arial"/>
          <w:sz w:val="22"/>
          <w:szCs w:val="22"/>
        </w:rPr>
        <w:t xml:space="preserve"> </w:t>
      </w:r>
      <w:r w:rsidR="00680771">
        <w:rPr>
          <w:rFonts w:ascii="Arial" w:hAnsi="Arial" w:cs="Arial"/>
          <w:sz w:val="22"/>
          <w:szCs w:val="22"/>
        </w:rPr>
        <w:t>is necessary to</w:t>
      </w:r>
      <w:r w:rsidR="00BF416F">
        <w:rPr>
          <w:rFonts w:ascii="Arial" w:hAnsi="Arial" w:cs="Arial"/>
          <w:sz w:val="22"/>
          <w:szCs w:val="22"/>
        </w:rPr>
        <w:t xml:space="preserve"> enabl</w:t>
      </w:r>
      <w:r w:rsidR="00680771">
        <w:rPr>
          <w:rFonts w:ascii="Arial" w:hAnsi="Arial" w:cs="Arial"/>
          <w:sz w:val="22"/>
          <w:szCs w:val="22"/>
        </w:rPr>
        <w:t>e</w:t>
      </w:r>
      <w:r w:rsidR="00BF416F">
        <w:rPr>
          <w:rFonts w:ascii="Arial" w:hAnsi="Arial" w:cs="Arial"/>
          <w:sz w:val="22"/>
          <w:szCs w:val="22"/>
        </w:rPr>
        <w:t xml:space="preserve"> competition with entities from other G20 jurisdictions.</w:t>
      </w:r>
    </w:p>
    <w:p w14:paraId="1E2694EB" w14:textId="77777777" w:rsidR="00811171" w:rsidRDefault="00811171" w:rsidP="00811171">
      <w:pPr>
        <w:pStyle w:val="ListParagraph"/>
        <w:spacing w:after="0"/>
        <w:ind w:left="783"/>
        <w:jc w:val="both"/>
        <w:rPr>
          <w:rFonts w:ascii="Arial" w:hAnsi="Arial" w:cs="Arial"/>
          <w:sz w:val="22"/>
          <w:szCs w:val="22"/>
        </w:rPr>
      </w:pPr>
    </w:p>
    <w:p w14:paraId="2F4F24EE" w14:textId="70C0A40B" w:rsidR="00811171" w:rsidRDefault="00811171" w:rsidP="00811171">
      <w:pPr>
        <w:pStyle w:val="ListParagraph"/>
        <w:spacing w:after="0"/>
        <w:ind w:left="783"/>
        <w:jc w:val="both"/>
        <w:rPr>
          <w:rFonts w:ascii="Arial" w:hAnsi="Arial" w:cs="Arial"/>
          <w:sz w:val="22"/>
          <w:szCs w:val="22"/>
        </w:rPr>
      </w:pPr>
      <w:r>
        <w:rPr>
          <w:rFonts w:ascii="Arial" w:hAnsi="Arial" w:cs="Arial"/>
          <w:sz w:val="22"/>
          <w:szCs w:val="22"/>
        </w:rPr>
        <w:t xml:space="preserve">A 2021 memorandum delivered by Luther Law confirmed that the EU </w:t>
      </w:r>
      <w:r w:rsidR="001A33AC">
        <w:rPr>
          <w:rFonts w:ascii="Arial" w:hAnsi="Arial" w:cs="Arial"/>
          <w:sz w:val="22"/>
          <w:szCs w:val="22"/>
        </w:rPr>
        <w:t>commodit</w:t>
      </w:r>
      <w:r w:rsidR="002A6870">
        <w:rPr>
          <w:rFonts w:ascii="Arial" w:hAnsi="Arial" w:cs="Arial"/>
          <w:sz w:val="22"/>
          <w:szCs w:val="22"/>
        </w:rPr>
        <w:t>y</w:t>
      </w:r>
      <w:r w:rsidR="001A33AC">
        <w:rPr>
          <w:rFonts w:ascii="Arial" w:hAnsi="Arial" w:cs="Arial"/>
          <w:sz w:val="22"/>
          <w:szCs w:val="22"/>
        </w:rPr>
        <w:t xml:space="preserve"> clearing threshold</w:t>
      </w:r>
      <w:r>
        <w:rPr>
          <w:rFonts w:ascii="Arial" w:hAnsi="Arial" w:cs="Arial"/>
          <w:sz w:val="22"/>
          <w:szCs w:val="22"/>
        </w:rPr>
        <w:t xml:space="preserve"> was the most onerous in terms of both threshold and the entities/ products to which the threshold is applicable.</w:t>
      </w:r>
      <w:r w:rsidR="003C539D">
        <w:rPr>
          <w:rStyle w:val="FootnoteReference"/>
          <w:rFonts w:ascii="Arial" w:hAnsi="Arial" w:cs="Arial"/>
          <w:sz w:val="22"/>
          <w:szCs w:val="22"/>
        </w:rPr>
        <w:footnoteReference w:id="6"/>
      </w:r>
      <w:r>
        <w:rPr>
          <w:rFonts w:ascii="Arial" w:hAnsi="Arial" w:cs="Arial"/>
          <w:sz w:val="22"/>
          <w:szCs w:val="22"/>
        </w:rPr>
        <w:t xml:space="preserve"> While we again acknowledge the revisions to the calculation method and </w:t>
      </w:r>
      <w:r w:rsidR="00913B64">
        <w:rPr>
          <w:rFonts w:ascii="Arial" w:hAnsi="Arial" w:cs="Arial"/>
          <w:sz w:val="22"/>
          <w:szCs w:val="22"/>
        </w:rPr>
        <w:t>in-scope</w:t>
      </w:r>
      <w:r>
        <w:rPr>
          <w:rFonts w:ascii="Arial" w:hAnsi="Arial" w:cs="Arial"/>
          <w:sz w:val="22"/>
          <w:szCs w:val="22"/>
        </w:rPr>
        <w:t xml:space="preserve"> entities for the purposes of the calculations</w:t>
      </w:r>
      <w:r w:rsidR="003C539D">
        <w:rPr>
          <w:rFonts w:ascii="Arial" w:hAnsi="Arial" w:cs="Arial"/>
          <w:sz w:val="22"/>
          <w:szCs w:val="22"/>
        </w:rPr>
        <w:t xml:space="preserve"> since this memorandum was drafted</w:t>
      </w:r>
      <w:r>
        <w:rPr>
          <w:rFonts w:ascii="Arial" w:hAnsi="Arial" w:cs="Arial"/>
          <w:sz w:val="22"/>
          <w:szCs w:val="22"/>
        </w:rPr>
        <w:t xml:space="preserve">, we note that the </w:t>
      </w:r>
      <w:r w:rsidR="003C539D">
        <w:rPr>
          <w:rFonts w:ascii="Arial" w:hAnsi="Arial" w:cs="Arial"/>
          <w:sz w:val="22"/>
          <w:szCs w:val="22"/>
        </w:rPr>
        <w:t>commodit</w:t>
      </w:r>
      <w:r w:rsidR="002A6870">
        <w:rPr>
          <w:rFonts w:ascii="Arial" w:hAnsi="Arial" w:cs="Arial"/>
          <w:sz w:val="22"/>
          <w:szCs w:val="22"/>
        </w:rPr>
        <w:t>y</w:t>
      </w:r>
      <w:r w:rsidR="003C539D">
        <w:rPr>
          <w:rFonts w:ascii="Arial" w:hAnsi="Arial" w:cs="Arial"/>
          <w:sz w:val="22"/>
          <w:szCs w:val="22"/>
        </w:rPr>
        <w:t xml:space="preserve"> </w:t>
      </w:r>
      <w:r>
        <w:rPr>
          <w:rFonts w:ascii="Arial" w:hAnsi="Arial" w:cs="Arial"/>
          <w:sz w:val="22"/>
          <w:szCs w:val="22"/>
        </w:rPr>
        <w:t>threshold remains much lower</w:t>
      </w:r>
      <w:r w:rsidR="003C539D">
        <w:rPr>
          <w:rFonts w:ascii="Arial" w:hAnsi="Arial" w:cs="Arial"/>
          <w:sz w:val="22"/>
          <w:szCs w:val="22"/>
        </w:rPr>
        <w:t xml:space="preserve"> in the EU than in other jurisdictions.</w:t>
      </w:r>
    </w:p>
    <w:p w14:paraId="34C6F857" w14:textId="77777777" w:rsidR="00BF416F" w:rsidRPr="00BF416F" w:rsidRDefault="00BF416F" w:rsidP="00BF416F">
      <w:pPr>
        <w:pStyle w:val="ListParagraph"/>
        <w:spacing w:after="0"/>
        <w:ind w:left="783"/>
        <w:jc w:val="both"/>
        <w:rPr>
          <w:rFonts w:ascii="Arial" w:hAnsi="Arial" w:cs="Arial"/>
          <w:sz w:val="22"/>
          <w:szCs w:val="22"/>
        </w:rPr>
      </w:pPr>
    </w:p>
    <w:p w14:paraId="0760A07A" w14:textId="02527830" w:rsidR="004934AC" w:rsidRPr="005614BB" w:rsidRDefault="00C55D68" w:rsidP="005614BB">
      <w:pPr>
        <w:pStyle w:val="ListParagraph"/>
        <w:spacing w:after="0"/>
        <w:ind w:left="783"/>
        <w:jc w:val="both"/>
      </w:pPr>
      <w:r>
        <w:rPr>
          <w:rFonts w:ascii="Arial" w:hAnsi="Arial" w:cs="Arial"/>
          <w:sz w:val="22"/>
          <w:szCs w:val="22"/>
        </w:rPr>
        <w:t>A</w:t>
      </w:r>
      <w:r w:rsidR="00A200A1">
        <w:rPr>
          <w:rFonts w:ascii="Arial" w:hAnsi="Arial" w:cs="Arial"/>
          <w:sz w:val="22"/>
          <w:szCs w:val="22"/>
        </w:rPr>
        <w:t xml:space="preserve">s a comparator, </w:t>
      </w:r>
      <w:r w:rsidR="00657113">
        <w:rPr>
          <w:rFonts w:ascii="Arial" w:hAnsi="Arial" w:cs="Arial"/>
          <w:sz w:val="22"/>
          <w:szCs w:val="22"/>
        </w:rPr>
        <w:t xml:space="preserve">under </w:t>
      </w:r>
      <w:r w:rsidR="006D00C5">
        <w:rPr>
          <w:rFonts w:ascii="Arial" w:hAnsi="Arial" w:cs="Arial"/>
          <w:sz w:val="22"/>
          <w:szCs w:val="22"/>
        </w:rPr>
        <w:t>the Commercial End-User Exemption of the Dodd-Frank Act, a non-financial energy trading firm can trade cash settled derivatives for hedging in an unlimited manner and for non-hedging purposes up to a de minim</w:t>
      </w:r>
      <w:r w:rsidR="001003CC">
        <w:rPr>
          <w:rFonts w:ascii="Arial" w:hAnsi="Arial" w:cs="Arial"/>
          <w:sz w:val="22"/>
          <w:szCs w:val="22"/>
        </w:rPr>
        <w:t>i</w:t>
      </w:r>
      <w:r w:rsidR="00327A39">
        <w:rPr>
          <w:rFonts w:ascii="Arial" w:hAnsi="Arial" w:cs="Arial"/>
          <w:sz w:val="22"/>
          <w:szCs w:val="22"/>
        </w:rPr>
        <w:t>s</w:t>
      </w:r>
      <w:r w:rsidR="006D00C5" w:rsidRPr="00327A39">
        <w:rPr>
          <w:rFonts w:ascii="Arial" w:hAnsi="Arial" w:cs="Arial"/>
          <w:sz w:val="22"/>
          <w:szCs w:val="22"/>
        </w:rPr>
        <w:t xml:space="preserve"> threshold of </w:t>
      </w:r>
      <w:r w:rsidR="005A014F">
        <w:rPr>
          <w:rFonts w:ascii="Arial" w:hAnsi="Arial" w:cs="Arial"/>
          <w:sz w:val="22"/>
          <w:szCs w:val="22"/>
        </w:rPr>
        <w:t xml:space="preserve">USD </w:t>
      </w:r>
      <w:r w:rsidR="006D00C5" w:rsidRPr="00327A39">
        <w:rPr>
          <w:rFonts w:ascii="Arial" w:hAnsi="Arial" w:cs="Arial"/>
          <w:sz w:val="22"/>
          <w:szCs w:val="22"/>
        </w:rPr>
        <w:t>8 billion.</w:t>
      </w:r>
      <w:r w:rsidR="00F40AE2">
        <w:rPr>
          <w:rStyle w:val="FootnoteReference"/>
          <w:rFonts w:ascii="Arial" w:hAnsi="Arial" w:cs="Arial"/>
          <w:sz w:val="22"/>
          <w:szCs w:val="22"/>
        </w:rPr>
        <w:footnoteReference w:id="7"/>
      </w:r>
      <w:r w:rsidR="007E70C9">
        <w:rPr>
          <w:rFonts w:ascii="Arial" w:hAnsi="Arial" w:cs="Arial"/>
          <w:sz w:val="22"/>
          <w:szCs w:val="22"/>
        </w:rPr>
        <w:t xml:space="preserve"> T</w:t>
      </w:r>
      <w:r w:rsidR="009F5BA1" w:rsidRPr="00327A39">
        <w:rPr>
          <w:rFonts w:ascii="Arial" w:hAnsi="Arial" w:cs="Arial"/>
          <w:sz w:val="22"/>
          <w:szCs w:val="22"/>
        </w:rPr>
        <w:t>he</w:t>
      </w:r>
      <w:r w:rsidR="00F773B1" w:rsidRPr="00327A39">
        <w:rPr>
          <w:rFonts w:ascii="Arial" w:hAnsi="Arial" w:cs="Arial"/>
          <w:sz w:val="22"/>
          <w:szCs w:val="22"/>
        </w:rPr>
        <w:t xml:space="preserve"> U.S. Commodity Futures Trading Commission (the "</w:t>
      </w:r>
      <w:r w:rsidR="00F773B1" w:rsidRPr="00327A39">
        <w:rPr>
          <w:rFonts w:ascii="Arial" w:hAnsi="Arial" w:cs="Arial"/>
          <w:b/>
          <w:bCs/>
          <w:sz w:val="22"/>
          <w:szCs w:val="22"/>
        </w:rPr>
        <w:t>CFTC</w:t>
      </w:r>
      <w:r w:rsidR="00F773B1" w:rsidRPr="00327A39">
        <w:rPr>
          <w:rFonts w:ascii="Arial" w:hAnsi="Arial" w:cs="Arial"/>
          <w:sz w:val="22"/>
          <w:szCs w:val="22"/>
        </w:rPr>
        <w:t xml:space="preserve">") </w:t>
      </w:r>
      <w:r w:rsidR="00296A86">
        <w:rPr>
          <w:rFonts w:ascii="Arial" w:hAnsi="Arial" w:cs="Arial"/>
          <w:sz w:val="22"/>
          <w:szCs w:val="22"/>
        </w:rPr>
        <w:t xml:space="preserve">has </w:t>
      </w:r>
      <w:r w:rsidR="00B84936">
        <w:rPr>
          <w:rFonts w:ascii="Arial" w:hAnsi="Arial" w:cs="Arial"/>
          <w:sz w:val="22"/>
          <w:szCs w:val="22"/>
        </w:rPr>
        <w:t xml:space="preserve">previously </w:t>
      </w:r>
      <w:r w:rsidR="00F773B1" w:rsidRPr="00327A39">
        <w:rPr>
          <w:rFonts w:ascii="Arial" w:hAnsi="Arial" w:cs="Arial"/>
          <w:sz w:val="22"/>
          <w:szCs w:val="22"/>
        </w:rPr>
        <w:t xml:space="preserve">decided against reducing the threshold from USD 8 billion to USD 3 billion. </w:t>
      </w:r>
      <w:r w:rsidR="000F2257" w:rsidRPr="00327A39">
        <w:rPr>
          <w:rFonts w:ascii="Arial" w:hAnsi="Arial" w:cs="Arial"/>
          <w:sz w:val="22"/>
          <w:szCs w:val="22"/>
        </w:rPr>
        <w:t>The</w:t>
      </w:r>
      <w:r w:rsidR="00F773B1" w:rsidRPr="00327A39">
        <w:rPr>
          <w:rFonts w:ascii="Arial" w:hAnsi="Arial" w:cs="Arial"/>
          <w:sz w:val="22"/>
          <w:szCs w:val="22"/>
        </w:rPr>
        <w:t xml:space="preserve"> CFTC </w:t>
      </w:r>
      <w:r w:rsidR="00C555C3" w:rsidRPr="00327A39">
        <w:rPr>
          <w:rFonts w:ascii="Arial" w:hAnsi="Arial" w:cs="Arial"/>
          <w:sz w:val="22"/>
          <w:szCs w:val="22"/>
        </w:rPr>
        <w:t>considered the availability of efficient hedging opportunities for the real economy</w:t>
      </w:r>
      <w:r w:rsidR="000F2257" w:rsidRPr="00327A39">
        <w:rPr>
          <w:rFonts w:ascii="Arial" w:hAnsi="Arial" w:cs="Arial"/>
          <w:sz w:val="22"/>
          <w:szCs w:val="22"/>
        </w:rPr>
        <w:t>, amongst other factors,</w:t>
      </w:r>
      <w:r w:rsidR="00C555C3" w:rsidRPr="00327A39">
        <w:rPr>
          <w:rFonts w:ascii="Arial" w:hAnsi="Arial" w:cs="Arial"/>
          <w:sz w:val="22"/>
          <w:szCs w:val="22"/>
        </w:rPr>
        <w:t xml:space="preserve"> </w:t>
      </w:r>
      <w:r w:rsidR="00A50104" w:rsidRPr="00327A39">
        <w:rPr>
          <w:rFonts w:ascii="Arial" w:hAnsi="Arial" w:cs="Arial"/>
          <w:sz w:val="22"/>
          <w:szCs w:val="22"/>
        </w:rPr>
        <w:t>in coming to its decision to maintain the</w:t>
      </w:r>
      <w:r w:rsidR="00582495" w:rsidRPr="00327A39">
        <w:rPr>
          <w:rFonts w:ascii="Arial" w:hAnsi="Arial" w:cs="Arial"/>
          <w:sz w:val="22"/>
          <w:szCs w:val="22"/>
        </w:rPr>
        <w:t xml:space="preserve"> USD 8 billion</w:t>
      </w:r>
      <w:r w:rsidR="00105320" w:rsidRPr="00327A39">
        <w:rPr>
          <w:rFonts w:ascii="Arial" w:hAnsi="Arial" w:cs="Arial"/>
          <w:sz w:val="22"/>
          <w:szCs w:val="22"/>
        </w:rPr>
        <w:t xml:space="preserve"> </w:t>
      </w:r>
      <w:r w:rsidR="00105320" w:rsidRPr="00327A39">
        <w:rPr>
          <w:rFonts w:ascii="Arial" w:hAnsi="Arial" w:cs="Arial"/>
          <w:sz w:val="22"/>
          <w:szCs w:val="22"/>
        </w:rPr>
        <w:lastRenderedPageBreak/>
        <w:t>threshold</w:t>
      </w:r>
      <w:r w:rsidR="00A50104" w:rsidRPr="00327A39">
        <w:rPr>
          <w:rFonts w:ascii="Arial" w:hAnsi="Arial" w:cs="Arial"/>
          <w:sz w:val="22"/>
          <w:szCs w:val="22"/>
        </w:rPr>
        <w:t>.</w:t>
      </w:r>
      <w:r w:rsidR="003E199C">
        <w:rPr>
          <w:rStyle w:val="FootnoteReference"/>
          <w:rFonts w:ascii="Arial" w:hAnsi="Arial" w:cs="Arial"/>
          <w:sz w:val="22"/>
          <w:szCs w:val="22"/>
        </w:rPr>
        <w:footnoteReference w:id="8"/>
      </w:r>
      <w:r w:rsidR="00BB5BA9">
        <w:rPr>
          <w:rFonts w:ascii="Arial" w:hAnsi="Arial" w:cs="Arial"/>
          <w:sz w:val="22"/>
          <w:szCs w:val="22"/>
        </w:rPr>
        <w:t xml:space="preserve"> </w:t>
      </w:r>
      <w:r w:rsidR="003C539D">
        <w:rPr>
          <w:rFonts w:ascii="Arial" w:hAnsi="Arial" w:cs="Arial"/>
          <w:sz w:val="22"/>
          <w:szCs w:val="22"/>
        </w:rPr>
        <w:t xml:space="preserve">We also note that Singapore and Australia </w:t>
      </w:r>
      <w:r w:rsidR="00007176">
        <w:rPr>
          <w:rFonts w:ascii="Arial" w:hAnsi="Arial" w:cs="Arial"/>
          <w:sz w:val="22"/>
          <w:szCs w:val="22"/>
        </w:rPr>
        <w:t xml:space="preserve">respectively </w:t>
      </w:r>
      <w:r w:rsidR="003C539D">
        <w:rPr>
          <w:rFonts w:ascii="Arial" w:hAnsi="Arial" w:cs="Arial"/>
          <w:sz w:val="22"/>
          <w:szCs w:val="22"/>
        </w:rPr>
        <w:t xml:space="preserve">offer </w:t>
      </w:r>
      <w:proofErr w:type="gramStart"/>
      <w:r w:rsidR="003C539D">
        <w:rPr>
          <w:rFonts w:ascii="Arial" w:hAnsi="Arial" w:cs="Arial"/>
          <w:sz w:val="22"/>
          <w:szCs w:val="22"/>
        </w:rPr>
        <w:t>a</w:t>
      </w:r>
      <w:proofErr w:type="gramEnd"/>
      <w:r w:rsidR="003C539D">
        <w:rPr>
          <w:rFonts w:ascii="Arial" w:hAnsi="Arial" w:cs="Arial"/>
          <w:sz w:val="22"/>
          <w:szCs w:val="22"/>
        </w:rPr>
        <w:t xml:space="preserve"> SGD 20 billion and AUD 100 billion threshold</w:t>
      </w:r>
      <w:r w:rsidR="00007176">
        <w:rPr>
          <w:rFonts w:ascii="Arial" w:hAnsi="Arial" w:cs="Arial"/>
          <w:sz w:val="22"/>
          <w:szCs w:val="22"/>
        </w:rPr>
        <w:t xml:space="preserve"> per entity</w:t>
      </w:r>
      <w:r w:rsidR="003C539D">
        <w:rPr>
          <w:rFonts w:ascii="Arial" w:hAnsi="Arial" w:cs="Arial"/>
          <w:sz w:val="22"/>
          <w:szCs w:val="22"/>
        </w:rPr>
        <w:t>.</w:t>
      </w:r>
      <w:r w:rsidR="003C539D">
        <w:rPr>
          <w:rStyle w:val="FootnoteReference"/>
          <w:rFonts w:ascii="Arial" w:hAnsi="Arial" w:cs="Arial"/>
          <w:sz w:val="22"/>
          <w:szCs w:val="22"/>
        </w:rPr>
        <w:footnoteReference w:id="9"/>
      </w:r>
      <w:r w:rsidR="003C539D" w:rsidRPr="004934AC">
        <w:rPr>
          <w:rFonts w:ascii="Arial" w:hAnsi="Arial" w:cs="Arial"/>
          <w:sz w:val="22"/>
          <w:szCs w:val="22"/>
        </w:rPr>
        <w:t xml:space="preserve"> </w:t>
      </w:r>
    </w:p>
    <w:p w14:paraId="294D1735" w14:textId="77777777" w:rsidR="003437BF" w:rsidRDefault="003437BF" w:rsidP="003437BF">
      <w:pPr>
        <w:pStyle w:val="ListParagraph"/>
        <w:spacing w:after="0"/>
        <w:ind w:left="783"/>
        <w:jc w:val="both"/>
        <w:rPr>
          <w:rFonts w:ascii="Arial" w:hAnsi="Arial" w:cs="Arial"/>
          <w:sz w:val="22"/>
          <w:szCs w:val="22"/>
        </w:rPr>
      </w:pPr>
    </w:p>
    <w:p w14:paraId="3740BDF7" w14:textId="60CC80FD" w:rsidR="00165100" w:rsidRDefault="00DE327E" w:rsidP="003437BF">
      <w:pPr>
        <w:pStyle w:val="ListParagraph"/>
        <w:spacing w:after="0"/>
        <w:ind w:left="783"/>
        <w:jc w:val="both"/>
        <w:rPr>
          <w:rFonts w:ascii="Arial" w:hAnsi="Arial" w:cs="Arial"/>
          <w:sz w:val="22"/>
          <w:szCs w:val="22"/>
        </w:rPr>
      </w:pPr>
      <w:r>
        <w:rPr>
          <w:rFonts w:ascii="Arial" w:hAnsi="Arial" w:cs="Arial"/>
          <w:sz w:val="22"/>
          <w:szCs w:val="22"/>
        </w:rPr>
        <w:t>In addition, w</w:t>
      </w:r>
      <w:r w:rsidR="00007176">
        <w:rPr>
          <w:rFonts w:ascii="Arial" w:hAnsi="Arial" w:cs="Arial"/>
          <w:sz w:val="22"/>
          <w:szCs w:val="22"/>
        </w:rPr>
        <w:t xml:space="preserve">e would emphasise that </w:t>
      </w:r>
      <w:r w:rsidR="003437BF">
        <w:rPr>
          <w:rFonts w:ascii="Arial" w:hAnsi="Arial" w:cs="Arial"/>
          <w:sz w:val="22"/>
          <w:szCs w:val="22"/>
        </w:rPr>
        <w:t>ESMA</w:t>
      </w:r>
      <w:r w:rsidR="001E52FE">
        <w:rPr>
          <w:rFonts w:ascii="Arial" w:hAnsi="Arial" w:cs="Arial"/>
          <w:sz w:val="22"/>
          <w:szCs w:val="22"/>
        </w:rPr>
        <w:t xml:space="preserve"> itself has acknowledged and recommended accounting for the EU's global competitiveness in policy making</w:t>
      </w:r>
      <w:r w:rsidR="003437BF">
        <w:rPr>
          <w:rFonts w:ascii="Arial" w:hAnsi="Arial" w:cs="Arial"/>
          <w:sz w:val="22"/>
          <w:szCs w:val="22"/>
        </w:rPr>
        <w:t xml:space="preserve"> in its position paper on strengthening EU capital markets from June 2024.</w:t>
      </w:r>
      <w:r w:rsidR="009E528D">
        <w:rPr>
          <w:rStyle w:val="FootnoteReference"/>
          <w:rFonts w:ascii="Arial" w:hAnsi="Arial" w:cs="Arial"/>
          <w:sz w:val="22"/>
          <w:szCs w:val="22"/>
        </w:rPr>
        <w:footnoteReference w:id="10"/>
      </w:r>
      <w:r w:rsidR="00165100">
        <w:rPr>
          <w:rFonts w:ascii="Arial" w:hAnsi="Arial" w:cs="Arial"/>
          <w:sz w:val="22"/>
          <w:szCs w:val="22"/>
        </w:rPr>
        <w:t xml:space="preserve"> </w:t>
      </w:r>
    </w:p>
    <w:p w14:paraId="0B6F00C9" w14:textId="77777777" w:rsidR="004F3195" w:rsidRDefault="004F3195" w:rsidP="003437BF">
      <w:pPr>
        <w:pStyle w:val="ListParagraph"/>
        <w:spacing w:after="0"/>
        <w:ind w:left="783"/>
        <w:jc w:val="both"/>
        <w:rPr>
          <w:rFonts w:ascii="Arial" w:hAnsi="Arial" w:cs="Arial"/>
          <w:sz w:val="22"/>
          <w:szCs w:val="22"/>
        </w:rPr>
      </w:pPr>
    </w:p>
    <w:p w14:paraId="3C6DE825" w14:textId="2991619B" w:rsidR="00013620" w:rsidRDefault="00E3223F" w:rsidP="004F3195">
      <w:pPr>
        <w:pStyle w:val="ListParagraph"/>
        <w:numPr>
          <w:ilvl w:val="0"/>
          <w:numId w:val="14"/>
        </w:numPr>
        <w:spacing w:after="0"/>
        <w:jc w:val="both"/>
        <w:rPr>
          <w:rFonts w:ascii="Arial" w:hAnsi="Arial" w:cs="Arial"/>
          <w:sz w:val="22"/>
          <w:szCs w:val="22"/>
        </w:rPr>
      </w:pPr>
      <w:r w:rsidRPr="00013620">
        <w:rPr>
          <w:rFonts w:ascii="Arial" w:hAnsi="Arial" w:cs="Arial"/>
          <w:b/>
          <w:bCs/>
          <w:sz w:val="22"/>
          <w:szCs w:val="22"/>
        </w:rPr>
        <w:t>The consequences of NFCs breaching the uncleared threshold</w:t>
      </w:r>
      <w:r w:rsidR="00B42336" w:rsidRPr="00013620">
        <w:rPr>
          <w:rFonts w:ascii="Arial" w:hAnsi="Arial" w:cs="Arial"/>
          <w:b/>
          <w:bCs/>
          <w:sz w:val="22"/>
          <w:szCs w:val="22"/>
        </w:rPr>
        <w:t xml:space="preserve"> for any asset class</w:t>
      </w:r>
      <w:r w:rsidRPr="00013620">
        <w:rPr>
          <w:rFonts w:ascii="Arial" w:hAnsi="Arial" w:cs="Arial"/>
          <w:b/>
          <w:bCs/>
          <w:sz w:val="22"/>
          <w:szCs w:val="22"/>
        </w:rPr>
        <w:t xml:space="preserve"> is substantive</w:t>
      </w:r>
      <w:r w:rsidR="001E2F80" w:rsidRPr="00013620">
        <w:rPr>
          <w:rFonts w:ascii="Arial" w:hAnsi="Arial" w:cs="Arial"/>
          <w:b/>
          <w:bCs/>
          <w:sz w:val="22"/>
          <w:szCs w:val="22"/>
        </w:rPr>
        <w:t xml:space="preserve"> and prohibitive in some cases</w:t>
      </w:r>
      <w:r w:rsidR="00F6392D">
        <w:rPr>
          <w:rFonts w:ascii="Arial" w:hAnsi="Arial" w:cs="Arial"/>
          <w:sz w:val="22"/>
          <w:szCs w:val="22"/>
        </w:rPr>
        <w:t>.</w:t>
      </w:r>
    </w:p>
    <w:p w14:paraId="573E0529" w14:textId="77777777" w:rsidR="00013620" w:rsidRDefault="00013620" w:rsidP="00013620">
      <w:pPr>
        <w:pStyle w:val="ListParagraph"/>
        <w:spacing w:after="0"/>
        <w:ind w:left="783"/>
        <w:jc w:val="both"/>
        <w:rPr>
          <w:rFonts w:ascii="Arial" w:hAnsi="Arial" w:cs="Arial"/>
          <w:sz w:val="22"/>
          <w:szCs w:val="22"/>
        </w:rPr>
      </w:pPr>
    </w:p>
    <w:p w14:paraId="091C881D" w14:textId="6762036B" w:rsidR="00202FE2" w:rsidRDefault="00B42336" w:rsidP="00013620">
      <w:pPr>
        <w:pStyle w:val="ListParagraph"/>
        <w:spacing w:after="0"/>
        <w:ind w:left="783"/>
        <w:jc w:val="both"/>
        <w:rPr>
          <w:rFonts w:ascii="Arial" w:hAnsi="Arial" w:cs="Arial"/>
          <w:sz w:val="22"/>
          <w:szCs w:val="22"/>
        </w:rPr>
      </w:pPr>
      <w:r>
        <w:rPr>
          <w:rFonts w:ascii="Arial" w:hAnsi="Arial" w:cs="Arial"/>
          <w:sz w:val="22"/>
          <w:szCs w:val="22"/>
        </w:rPr>
        <w:t xml:space="preserve">These entities must, following notification of a breach, comply with </w:t>
      </w:r>
      <w:r w:rsidR="00E3223F">
        <w:rPr>
          <w:rFonts w:ascii="Arial" w:hAnsi="Arial" w:cs="Arial"/>
          <w:sz w:val="22"/>
          <w:szCs w:val="22"/>
        </w:rPr>
        <w:t>operationally burdensome risk mitigation obligations</w:t>
      </w:r>
      <w:r w:rsidR="00117683">
        <w:rPr>
          <w:rFonts w:ascii="Arial" w:hAnsi="Arial" w:cs="Arial"/>
          <w:sz w:val="22"/>
          <w:szCs w:val="22"/>
        </w:rPr>
        <w:t xml:space="preserve"> which, even for large and sophisticated energy players could trigger significant costs.</w:t>
      </w:r>
      <w:r w:rsidR="00117683">
        <w:rPr>
          <w:rStyle w:val="FootnoteReference"/>
          <w:rFonts w:ascii="Arial" w:hAnsi="Arial" w:cs="Arial"/>
          <w:sz w:val="22"/>
          <w:szCs w:val="22"/>
        </w:rPr>
        <w:footnoteReference w:id="11"/>
      </w:r>
      <w:r w:rsidR="00F51354">
        <w:rPr>
          <w:rFonts w:ascii="Arial" w:hAnsi="Arial" w:cs="Arial"/>
          <w:sz w:val="22"/>
          <w:szCs w:val="22"/>
        </w:rPr>
        <w:t xml:space="preserve"> </w:t>
      </w:r>
      <w:r w:rsidR="00ED11AC">
        <w:rPr>
          <w:rFonts w:ascii="Arial" w:hAnsi="Arial" w:cs="Arial"/>
          <w:sz w:val="22"/>
          <w:szCs w:val="22"/>
        </w:rPr>
        <w:t xml:space="preserve">In particular, the impact of exceeding the threshold in the commodity derivative asset class would bring all </w:t>
      </w:r>
      <w:r w:rsidR="006A23CF">
        <w:rPr>
          <w:rFonts w:ascii="Arial" w:hAnsi="Arial" w:cs="Arial"/>
          <w:sz w:val="22"/>
          <w:szCs w:val="22"/>
        </w:rPr>
        <w:t xml:space="preserve">OTC </w:t>
      </w:r>
      <w:r w:rsidR="00ED11AC">
        <w:rPr>
          <w:rFonts w:ascii="Arial" w:hAnsi="Arial" w:cs="Arial"/>
          <w:sz w:val="22"/>
          <w:szCs w:val="22"/>
        </w:rPr>
        <w:t>derivative transactions (whether commodity derivatives or otherwise) in scope of the margining requirements</w:t>
      </w:r>
      <w:r w:rsidR="006A23CF">
        <w:rPr>
          <w:rFonts w:ascii="Arial" w:hAnsi="Arial" w:cs="Arial"/>
          <w:sz w:val="22"/>
          <w:szCs w:val="22"/>
        </w:rPr>
        <w:t xml:space="preserve"> for non-centrally cleared OTC derivatives, including those for hedging purposes. This could result in a cliff-edge effect for EU NFCs who have large hedging requirements</w:t>
      </w:r>
      <w:r w:rsidR="00ED11AC">
        <w:rPr>
          <w:rFonts w:ascii="Arial" w:hAnsi="Arial" w:cs="Arial"/>
          <w:sz w:val="22"/>
          <w:szCs w:val="22"/>
        </w:rPr>
        <w:t xml:space="preserve">. </w:t>
      </w:r>
      <w:r w:rsidR="00BF14C7">
        <w:rPr>
          <w:rFonts w:ascii="Arial" w:hAnsi="Arial" w:cs="Arial"/>
          <w:sz w:val="22"/>
          <w:szCs w:val="22"/>
        </w:rPr>
        <w:t xml:space="preserve">We appreciate that EMIR 3.0 gives these entities 4 months to comply with additional risk mitigation obligations </w:t>
      </w:r>
      <w:proofErr w:type="gramStart"/>
      <w:r w:rsidR="00BF14C7">
        <w:rPr>
          <w:rFonts w:ascii="Arial" w:hAnsi="Arial" w:cs="Arial"/>
          <w:sz w:val="22"/>
          <w:szCs w:val="22"/>
        </w:rPr>
        <w:t>as a result of</w:t>
      </w:r>
      <w:proofErr w:type="gramEnd"/>
      <w:r w:rsidR="00BF14C7">
        <w:rPr>
          <w:rFonts w:ascii="Arial" w:hAnsi="Arial" w:cs="Arial"/>
          <w:sz w:val="22"/>
          <w:szCs w:val="22"/>
        </w:rPr>
        <w:t xml:space="preserve"> changing classification. However, in view of what needs to be undertaken, this is still a</w:t>
      </w:r>
      <w:r w:rsidR="00B8285C">
        <w:rPr>
          <w:rFonts w:ascii="Arial" w:hAnsi="Arial" w:cs="Arial"/>
          <w:sz w:val="22"/>
          <w:szCs w:val="22"/>
        </w:rPr>
        <w:t>n extremely</w:t>
      </w:r>
      <w:r w:rsidR="00BF14C7">
        <w:rPr>
          <w:rFonts w:ascii="Arial" w:hAnsi="Arial" w:cs="Arial"/>
          <w:sz w:val="22"/>
          <w:szCs w:val="22"/>
        </w:rPr>
        <w:t xml:space="preserve"> tight timeframe.</w:t>
      </w:r>
    </w:p>
    <w:p w14:paraId="4F85A7A2" w14:textId="77777777" w:rsidR="00202FE2" w:rsidRDefault="00202FE2" w:rsidP="00202FE2">
      <w:pPr>
        <w:pStyle w:val="ListParagraph"/>
        <w:spacing w:after="0"/>
        <w:ind w:left="783"/>
        <w:jc w:val="both"/>
        <w:rPr>
          <w:rFonts w:ascii="Arial" w:hAnsi="Arial" w:cs="Arial"/>
          <w:sz w:val="22"/>
          <w:szCs w:val="22"/>
        </w:rPr>
      </w:pPr>
    </w:p>
    <w:p w14:paraId="3FE4BC1F" w14:textId="74207B30" w:rsidR="004F3195" w:rsidRDefault="002D1BFF" w:rsidP="00202FE2">
      <w:pPr>
        <w:pStyle w:val="ListParagraph"/>
        <w:spacing w:after="0"/>
        <w:ind w:left="783"/>
        <w:jc w:val="both"/>
        <w:rPr>
          <w:rFonts w:ascii="Arial" w:hAnsi="Arial" w:cs="Arial"/>
          <w:sz w:val="22"/>
          <w:szCs w:val="22"/>
        </w:rPr>
      </w:pPr>
      <w:r>
        <w:rPr>
          <w:rFonts w:ascii="Arial" w:hAnsi="Arial" w:cs="Arial"/>
          <w:sz w:val="22"/>
          <w:szCs w:val="22"/>
        </w:rPr>
        <w:t>The combined effect of i</w:t>
      </w:r>
      <w:r w:rsidR="00240E83">
        <w:rPr>
          <w:rFonts w:ascii="Arial" w:hAnsi="Arial" w:cs="Arial"/>
          <w:sz w:val="22"/>
          <w:szCs w:val="22"/>
        </w:rPr>
        <w:t xml:space="preserve">nflationary pressures on the commodities market </w:t>
      </w:r>
      <w:r>
        <w:rPr>
          <w:rFonts w:ascii="Arial" w:hAnsi="Arial" w:cs="Arial"/>
          <w:sz w:val="22"/>
          <w:szCs w:val="22"/>
        </w:rPr>
        <w:t>and</w:t>
      </w:r>
      <w:r w:rsidR="00240E83">
        <w:rPr>
          <w:rFonts w:ascii="Arial" w:hAnsi="Arial" w:cs="Arial"/>
          <w:sz w:val="22"/>
          <w:szCs w:val="22"/>
        </w:rPr>
        <w:t xml:space="preserve"> a lower </w:t>
      </w:r>
      <w:r w:rsidR="00FA1701">
        <w:rPr>
          <w:rFonts w:ascii="Arial" w:hAnsi="Arial" w:cs="Arial"/>
          <w:sz w:val="22"/>
          <w:szCs w:val="22"/>
        </w:rPr>
        <w:t xml:space="preserve">uncleared threshold for </w:t>
      </w:r>
      <w:r w:rsidR="00240E83">
        <w:rPr>
          <w:rFonts w:ascii="Arial" w:hAnsi="Arial" w:cs="Arial"/>
          <w:sz w:val="22"/>
          <w:szCs w:val="22"/>
        </w:rPr>
        <w:t xml:space="preserve">commodity </w:t>
      </w:r>
      <w:r w:rsidR="00FA1701">
        <w:rPr>
          <w:rFonts w:ascii="Arial" w:hAnsi="Arial" w:cs="Arial"/>
          <w:sz w:val="22"/>
          <w:szCs w:val="22"/>
        </w:rPr>
        <w:t>derivatives</w:t>
      </w:r>
      <w:r w:rsidR="00240E83">
        <w:rPr>
          <w:rFonts w:ascii="Arial" w:hAnsi="Arial" w:cs="Arial"/>
          <w:sz w:val="22"/>
          <w:szCs w:val="22"/>
        </w:rPr>
        <w:t xml:space="preserve"> </w:t>
      </w:r>
      <w:r w:rsidR="0017009B">
        <w:rPr>
          <w:rFonts w:ascii="Arial" w:hAnsi="Arial" w:cs="Arial"/>
          <w:sz w:val="22"/>
          <w:szCs w:val="22"/>
        </w:rPr>
        <w:t>means that</w:t>
      </w:r>
      <w:r w:rsidR="00202FE2">
        <w:rPr>
          <w:rFonts w:ascii="Arial" w:hAnsi="Arial" w:cs="Arial"/>
          <w:sz w:val="22"/>
          <w:szCs w:val="22"/>
        </w:rPr>
        <w:t xml:space="preserve"> NFCs </w:t>
      </w:r>
      <w:r w:rsidR="00240E83">
        <w:rPr>
          <w:rFonts w:ascii="Arial" w:hAnsi="Arial" w:cs="Arial"/>
          <w:sz w:val="22"/>
          <w:szCs w:val="22"/>
        </w:rPr>
        <w:t>are forced to</w:t>
      </w:r>
      <w:r w:rsidR="00202FE2">
        <w:rPr>
          <w:rFonts w:ascii="Arial" w:hAnsi="Arial" w:cs="Arial"/>
          <w:sz w:val="22"/>
          <w:szCs w:val="22"/>
        </w:rPr>
        <w:t xml:space="preserve"> withhold or limit their trading in commodity derivatives</w:t>
      </w:r>
      <w:r w:rsidR="0034596E">
        <w:rPr>
          <w:rFonts w:ascii="Arial" w:hAnsi="Arial" w:cs="Arial"/>
          <w:sz w:val="22"/>
          <w:szCs w:val="22"/>
        </w:rPr>
        <w:t xml:space="preserve"> to avoid exceeding th</w:t>
      </w:r>
      <w:r w:rsidR="0017170D">
        <w:rPr>
          <w:rFonts w:ascii="Arial" w:hAnsi="Arial" w:cs="Arial"/>
          <w:sz w:val="22"/>
          <w:szCs w:val="22"/>
        </w:rPr>
        <w:t>is</w:t>
      </w:r>
      <w:r w:rsidR="0034596E">
        <w:rPr>
          <w:rFonts w:ascii="Arial" w:hAnsi="Arial" w:cs="Arial"/>
          <w:sz w:val="22"/>
          <w:szCs w:val="22"/>
        </w:rPr>
        <w:t xml:space="preserve"> threshold</w:t>
      </w:r>
      <w:r w:rsidR="00202FE2">
        <w:rPr>
          <w:rFonts w:ascii="Arial" w:hAnsi="Arial" w:cs="Arial"/>
          <w:sz w:val="22"/>
          <w:szCs w:val="22"/>
        </w:rPr>
        <w:t xml:space="preserve">. This could in turn </w:t>
      </w:r>
      <w:r w:rsidR="0034596E">
        <w:rPr>
          <w:rFonts w:ascii="Arial" w:hAnsi="Arial" w:cs="Arial"/>
          <w:sz w:val="22"/>
          <w:szCs w:val="22"/>
        </w:rPr>
        <w:t xml:space="preserve">withdraw liquidity </w:t>
      </w:r>
      <w:r w:rsidR="0017170D">
        <w:rPr>
          <w:rFonts w:ascii="Arial" w:hAnsi="Arial" w:cs="Arial"/>
          <w:sz w:val="22"/>
          <w:szCs w:val="22"/>
        </w:rPr>
        <w:t xml:space="preserve">from the market </w:t>
      </w:r>
      <w:r w:rsidR="0034596E">
        <w:rPr>
          <w:rFonts w:ascii="Arial" w:hAnsi="Arial" w:cs="Arial"/>
          <w:sz w:val="22"/>
          <w:szCs w:val="22"/>
        </w:rPr>
        <w:t>which could have implications for the EU's strategic energy autonomy and market resilience.</w:t>
      </w:r>
      <w:r>
        <w:rPr>
          <w:rStyle w:val="FootnoteReference"/>
          <w:rFonts w:ascii="Arial" w:hAnsi="Arial" w:cs="Arial"/>
          <w:sz w:val="22"/>
          <w:szCs w:val="22"/>
        </w:rPr>
        <w:footnoteReference w:id="12"/>
      </w:r>
      <w:r w:rsidR="0034596E">
        <w:rPr>
          <w:rFonts w:ascii="Arial" w:hAnsi="Arial" w:cs="Arial"/>
          <w:sz w:val="22"/>
          <w:szCs w:val="22"/>
        </w:rPr>
        <w:t xml:space="preserve"> </w:t>
      </w:r>
      <w:r w:rsidR="0085325C">
        <w:rPr>
          <w:rFonts w:ascii="Arial" w:hAnsi="Arial" w:cs="Arial"/>
          <w:sz w:val="22"/>
          <w:szCs w:val="22"/>
        </w:rPr>
        <w:t xml:space="preserve">This would put EU entities at a competitive disadvantage to NFCs in other jurisdictions (see further the discussion under (2) above </w:t>
      </w:r>
      <w:r w:rsidR="00FF3A29">
        <w:rPr>
          <w:rFonts w:ascii="Arial" w:hAnsi="Arial" w:cs="Arial"/>
          <w:sz w:val="22"/>
          <w:szCs w:val="22"/>
        </w:rPr>
        <w:t>in respect of the competitiveness of the European commodities market).</w:t>
      </w:r>
    </w:p>
    <w:p w14:paraId="1A5746CE" w14:textId="77777777" w:rsidR="00585833" w:rsidRDefault="00585833" w:rsidP="00202FE2">
      <w:pPr>
        <w:pStyle w:val="ListParagraph"/>
        <w:spacing w:after="0"/>
        <w:ind w:left="783"/>
        <w:jc w:val="both"/>
        <w:rPr>
          <w:rFonts w:ascii="Arial" w:hAnsi="Arial" w:cs="Arial"/>
          <w:sz w:val="22"/>
          <w:szCs w:val="22"/>
        </w:rPr>
      </w:pPr>
    </w:p>
    <w:p w14:paraId="47EC98D2" w14:textId="1438FF53" w:rsidR="00585833" w:rsidRDefault="00585833" w:rsidP="00202FE2">
      <w:pPr>
        <w:pStyle w:val="ListParagraph"/>
        <w:spacing w:after="0"/>
        <w:ind w:left="783"/>
        <w:jc w:val="both"/>
        <w:rPr>
          <w:rFonts w:ascii="Arial" w:hAnsi="Arial" w:cs="Arial"/>
          <w:sz w:val="22"/>
          <w:szCs w:val="22"/>
        </w:rPr>
      </w:pPr>
      <w:r>
        <w:rPr>
          <w:rFonts w:ascii="Arial" w:hAnsi="Arial" w:cs="Arial"/>
          <w:sz w:val="22"/>
          <w:szCs w:val="22"/>
        </w:rPr>
        <w:t>NFCs participating in the commodity derivatives market are not of systemic importance</w:t>
      </w:r>
      <w:r w:rsidR="00426E8E">
        <w:rPr>
          <w:rStyle w:val="FootnoteReference"/>
          <w:rFonts w:ascii="Arial" w:hAnsi="Arial" w:cs="Arial"/>
          <w:sz w:val="22"/>
          <w:szCs w:val="22"/>
        </w:rPr>
        <w:footnoteReference w:id="13"/>
      </w:r>
      <w:r>
        <w:rPr>
          <w:rFonts w:ascii="Arial" w:hAnsi="Arial" w:cs="Arial"/>
          <w:sz w:val="22"/>
          <w:szCs w:val="22"/>
        </w:rPr>
        <w:t xml:space="preserve"> and so while </w:t>
      </w:r>
      <w:r w:rsidR="0090603B">
        <w:rPr>
          <w:rFonts w:ascii="Arial" w:hAnsi="Arial" w:cs="Arial"/>
          <w:sz w:val="22"/>
          <w:szCs w:val="22"/>
        </w:rPr>
        <w:t xml:space="preserve">a higher threshold would </w:t>
      </w:r>
      <w:r>
        <w:rPr>
          <w:rFonts w:ascii="Arial" w:hAnsi="Arial" w:cs="Arial"/>
          <w:sz w:val="22"/>
          <w:szCs w:val="22"/>
        </w:rPr>
        <w:t>allow</w:t>
      </w:r>
      <w:r w:rsidR="0090603B">
        <w:rPr>
          <w:rFonts w:ascii="Arial" w:hAnsi="Arial" w:cs="Arial"/>
          <w:sz w:val="22"/>
          <w:szCs w:val="22"/>
        </w:rPr>
        <w:t xml:space="preserve"> </w:t>
      </w:r>
      <w:r>
        <w:rPr>
          <w:rFonts w:ascii="Arial" w:hAnsi="Arial" w:cs="Arial"/>
          <w:sz w:val="22"/>
          <w:szCs w:val="22"/>
        </w:rPr>
        <w:t>for a greater volume of OTC trading by NFCs in the commodity derivati</w:t>
      </w:r>
      <w:r w:rsidR="00731920">
        <w:rPr>
          <w:rFonts w:ascii="Arial" w:hAnsi="Arial" w:cs="Arial"/>
          <w:sz w:val="22"/>
          <w:szCs w:val="22"/>
        </w:rPr>
        <w:t>v</w:t>
      </w:r>
      <w:r>
        <w:rPr>
          <w:rFonts w:ascii="Arial" w:hAnsi="Arial" w:cs="Arial"/>
          <w:sz w:val="22"/>
          <w:szCs w:val="22"/>
        </w:rPr>
        <w:t>es market</w:t>
      </w:r>
      <w:r w:rsidR="00435EBA">
        <w:rPr>
          <w:rFonts w:ascii="Arial" w:hAnsi="Arial" w:cs="Arial"/>
          <w:sz w:val="22"/>
          <w:szCs w:val="22"/>
        </w:rPr>
        <w:t xml:space="preserve"> that is not subject to the</w:t>
      </w:r>
      <w:r w:rsidR="00D95D4C">
        <w:rPr>
          <w:rFonts w:ascii="Arial" w:hAnsi="Arial" w:cs="Arial"/>
          <w:sz w:val="22"/>
          <w:szCs w:val="22"/>
        </w:rPr>
        <w:t xml:space="preserve"> </w:t>
      </w:r>
      <w:r w:rsidR="00435EBA">
        <w:rPr>
          <w:rFonts w:ascii="Arial" w:hAnsi="Arial" w:cs="Arial"/>
          <w:sz w:val="22"/>
          <w:szCs w:val="22"/>
        </w:rPr>
        <w:t xml:space="preserve">EMIR </w:t>
      </w:r>
      <w:r w:rsidR="00435EBA">
        <w:rPr>
          <w:rFonts w:ascii="Arial" w:hAnsi="Arial" w:cs="Arial"/>
          <w:sz w:val="22"/>
          <w:szCs w:val="22"/>
        </w:rPr>
        <w:lastRenderedPageBreak/>
        <w:t>margin requirements</w:t>
      </w:r>
      <w:r w:rsidR="008A523D">
        <w:rPr>
          <w:rFonts w:ascii="Arial" w:hAnsi="Arial" w:cs="Arial"/>
          <w:sz w:val="22"/>
          <w:szCs w:val="22"/>
        </w:rPr>
        <w:t xml:space="preserve"> for non-centrally cleared OTC derivatives,</w:t>
      </w:r>
      <w:r>
        <w:rPr>
          <w:rFonts w:ascii="Arial" w:hAnsi="Arial" w:cs="Arial"/>
          <w:sz w:val="22"/>
          <w:szCs w:val="22"/>
        </w:rPr>
        <w:t xml:space="preserve"> </w:t>
      </w:r>
      <w:r w:rsidR="00731920">
        <w:rPr>
          <w:rFonts w:ascii="Arial" w:hAnsi="Arial" w:cs="Arial"/>
          <w:sz w:val="22"/>
          <w:szCs w:val="22"/>
        </w:rPr>
        <w:t>this would not pose a systemic risk to the wider financial markets.</w:t>
      </w:r>
      <w:r w:rsidR="008A523D">
        <w:rPr>
          <w:rStyle w:val="FootnoteReference"/>
          <w:rFonts w:ascii="Arial" w:hAnsi="Arial" w:cs="Arial"/>
          <w:sz w:val="22"/>
          <w:szCs w:val="22"/>
        </w:rPr>
        <w:footnoteReference w:id="14"/>
      </w:r>
    </w:p>
    <w:p w14:paraId="14D08E89" w14:textId="77777777" w:rsidR="00CD71A2" w:rsidRPr="000B5167" w:rsidRDefault="00CD71A2" w:rsidP="000B5167">
      <w:pPr>
        <w:spacing w:after="0"/>
        <w:jc w:val="both"/>
        <w:rPr>
          <w:rFonts w:ascii="Arial" w:hAnsi="Arial" w:cs="Arial"/>
          <w:sz w:val="22"/>
          <w:szCs w:val="22"/>
        </w:rPr>
      </w:pPr>
    </w:p>
    <w:p w14:paraId="5C657CC9" w14:textId="0A7DB221" w:rsidR="006F69E8" w:rsidRDefault="00957FC6" w:rsidP="009B726E">
      <w:pPr>
        <w:spacing w:after="0" w:line="276" w:lineRule="auto"/>
        <w:jc w:val="both"/>
        <w:rPr>
          <w:rFonts w:ascii="Arial" w:hAnsi="Arial" w:cs="Arial"/>
          <w:sz w:val="22"/>
          <w:szCs w:val="22"/>
        </w:rPr>
      </w:pPr>
      <w:r>
        <w:rPr>
          <w:rFonts w:ascii="Arial" w:hAnsi="Arial" w:cs="Arial"/>
          <w:sz w:val="22"/>
          <w:szCs w:val="22"/>
        </w:rPr>
        <w:t xml:space="preserve">Based on </w:t>
      </w:r>
      <w:proofErr w:type="gramStart"/>
      <w:r>
        <w:rPr>
          <w:rFonts w:ascii="Arial" w:hAnsi="Arial" w:cs="Arial"/>
          <w:sz w:val="22"/>
          <w:szCs w:val="22"/>
        </w:rPr>
        <w:t>all of</w:t>
      </w:r>
      <w:proofErr w:type="gramEnd"/>
      <w:r>
        <w:rPr>
          <w:rFonts w:ascii="Arial" w:hAnsi="Arial" w:cs="Arial"/>
          <w:sz w:val="22"/>
          <w:szCs w:val="22"/>
        </w:rPr>
        <w:t xml:space="preserve"> these factors, w</w:t>
      </w:r>
      <w:r w:rsidR="00944202">
        <w:rPr>
          <w:rFonts w:ascii="Arial" w:hAnsi="Arial" w:cs="Arial"/>
          <w:sz w:val="22"/>
          <w:szCs w:val="22"/>
        </w:rPr>
        <w:t>e</w:t>
      </w:r>
      <w:r w:rsidR="00165100" w:rsidRPr="000F4837">
        <w:rPr>
          <w:rFonts w:ascii="Arial" w:hAnsi="Arial" w:cs="Arial"/>
          <w:sz w:val="22"/>
          <w:szCs w:val="22"/>
        </w:rPr>
        <w:t xml:space="preserve"> would </w:t>
      </w:r>
      <w:r w:rsidR="000D2C15">
        <w:rPr>
          <w:rFonts w:ascii="Arial" w:hAnsi="Arial" w:cs="Arial"/>
          <w:sz w:val="22"/>
          <w:szCs w:val="22"/>
        </w:rPr>
        <w:t>strongly recommend that</w:t>
      </w:r>
      <w:r w:rsidR="00165100" w:rsidRPr="000F4837">
        <w:rPr>
          <w:rFonts w:ascii="Arial" w:hAnsi="Arial" w:cs="Arial"/>
          <w:sz w:val="22"/>
          <w:szCs w:val="22"/>
        </w:rPr>
        <w:t xml:space="preserve"> ESMA</w:t>
      </w:r>
      <w:r>
        <w:rPr>
          <w:rFonts w:ascii="Arial" w:hAnsi="Arial" w:cs="Arial"/>
          <w:sz w:val="22"/>
          <w:szCs w:val="22"/>
        </w:rPr>
        <w:t xml:space="preserve"> consider in fact </w:t>
      </w:r>
      <w:r w:rsidR="0032249B">
        <w:rPr>
          <w:rFonts w:ascii="Arial" w:hAnsi="Arial" w:cs="Arial"/>
          <w:sz w:val="22"/>
          <w:szCs w:val="22"/>
        </w:rPr>
        <w:t xml:space="preserve">increasing the threshold </w:t>
      </w:r>
      <w:r>
        <w:rPr>
          <w:rFonts w:ascii="Arial" w:hAnsi="Arial" w:cs="Arial"/>
          <w:sz w:val="22"/>
          <w:szCs w:val="22"/>
        </w:rPr>
        <w:t xml:space="preserve">for commodity </w:t>
      </w:r>
      <w:r w:rsidR="00012783">
        <w:rPr>
          <w:rFonts w:ascii="Arial" w:hAnsi="Arial" w:cs="Arial"/>
          <w:sz w:val="22"/>
          <w:szCs w:val="22"/>
        </w:rPr>
        <w:t xml:space="preserve">and emission allowance </w:t>
      </w:r>
      <w:r>
        <w:rPr>
          <w:rFonts w:ascii="Arial" w:hAnsi="Arial" w:cs="Arial"/>
          <w:sz w:val="22"/>
          <w:szCs w:val="22"/>
        </w:rPr>
        <w:t>derivatives</w:t>
      </w:r>
      <w:r w:rsidR="00012783">
        <w:rPr>
          <w:rFonts w:ascii="Arial" w:hAnsi="Arial" w:cs="Arial"/>
          <w:sz w:val="22"/>
          <w:szCs w:val="22"/>
        </w:rPr>
        <w:t xml:space="preserve"> </w:t>
      </w:r>
      <w:r w:rsidR="0032249B">
        <w:rPr>
          <w:rFonts w:ascii="Arial" w:hAnsi="Arial" w:cs="Arial"/>
          <w:sz w:val="22"/>
          <w:szCs w:val="22"/>
        </w:rPr>
        <w:t>but at a minimum to maintain it at EUR 4 billion</w:t>
      </w:r>
      <w:r w:rsidR="000B5167">
        <w:rPr>
          <w:rFonts w:ascii="Arial" w:hAnsi="Arial" w:cs="Arial"/>
          <w:sz w:val="22"/>
          <w:szCs w:val="22"/>
        </w:rPr>
        <w:t>. In addition to the above</w:t>
      </w:r>
      <w:r w:rsidR="001F59C8">
        <w:rPr>
          <w:rFonts w:ascii="Arial" w:hAnsi="Arial" w:cs="Arial"/>
          <w:sz w:val="22"/>
          <w:szCs w:val="22"/>
        </w:rPr>
        <w:t xml:space="preserve"> </w:t>
      </w:r>
      <w:r w:rsidR="00012783">
        <w:rPr>
          <w:rFonts w:ascii="Arial" w:hAnsi="Arial" w:cs="Arial"/>
          <w:sz w:val="22"/>
          <w:szCs w:val="22"/>
        </w:rPr>
        <w:t>discussion</w:t>
      </w:r>
      <w:r w:rsidR="000B5167">
        <w:rPr>
          <w:rFonts w:ascii="Arial" w:hAnsi="Arial" w:cs="Arial"/>
          <w:sz w:val="22"/>
          <w:szCs w:val="22"/>
        </w:rPr>
        <w:t>, we refer to our response to Question 5 below</w:t>
      </w:r>
      <w:r w:rsidR="00E970CD">
        <w:rPr>
          <w:rFonts w:ascii="Arial" w:hAnsi="Arial" w:cs="Arial"/>
          <w:sz w:val="22"/>
          <w:szCs w:val="22"/>
        </w:rPr>
        <w:t xml:space="preserve"> </w:t>
      </w:r>
      <w:r w:rsidR="000F6E10">
        <w:rPr>
          <w:rFonts w:ascii="Arial" w:hAnsi="Arial" w:cs="Arial"/>
          <w:sz w:val="22"/>
          <w:szCs w:val="22"/>
        </w:rPr>
        <w:t>which details the</w:t>
      </w:r>
      <w:r w:rsidR="00E970CD">
        <w:rPr>
          <w:rFonts w:ascii="Arial" w:hAnsi="Arial" w:cs="Arial"/>
          <w:sz w:val="22"/>
          <w:szCs w:val="22"/>
        </w:rPr>
        <w:t xml:space="preserve"> pressures in the emission allowance derivatives market</w:t>
      </w:r>
      <w:r w:rsidR="000F6E10">
        <w:rPr>
          <w:rFonts w:ascii="Arial" w:hAnsi="Arial" w:cs="Arial"/>
          <w:sz w:val="22"/>
          <w:szCs w:val="22"/>
        </w:rPr>
        <w:t xml:space="preserve"> and gives more support to increas</w:t>
      </w:r>
      <w:r w:rsidR="00627D2B">
        <w:rPr>
          <w:rFonts w:ascii="Arial" w:hAnsi="Arial" w:cs="Arial"/>
          <w:sz w:val="22"/>
          <w:szCs w:val="22"/>
        </w:rPr>
        <w:t>ing</w:t>
      </w:r>
      <w:r w:rsidR="00E976DC">
        <w:rPr>
          <w:rFonts w:ascii="Arial" w:hAnsi="Arial" w:cs="Arial"/>
          <w:sz w:val="22"/>
          <w:szCs w:val="22"/>
        </w:rPr>
        <w:t xml:space="preserve">, or at least maintaining, </w:t>
      </w:r>
      <w:r w:rsidR="000F6E10">
        <w:rPr>
          <w:rFonts w:ascii="Arial" w:hAnsi="Arial" w:cs="Arial"/>
          <w:sz w:val="22"/>
          <w:szCs w:val="22"/>
        </w:rPr>
        <w:t>the clearing threshold for this bucket</w:t>
      </w:r>
      <w:r w:rsidR="00E970CD">
        <w:rPr>
          <w:rFonts w:ascii="Arial" w:hAnsi="Arial" w:cs="Arial"/>
          <w:sz w:val="22"/>
          <w:szCs w:val="22"/>
        </w:rPr>
        <w:t>.</w:t>
      </w:r>
    </w:p>
    <w:p w14:paraId="350CC8F1" w14:textId="77777777" w:rsidR="00AF4B4B" w:rsidRPr="00630362" w:rsidRDefault="00AF4B4B" w:rsidP="009B726E">
      <w:pPr>
        <w:spacing w:after="0" w:line="276" w:lineRule="auto"/>
        <w:jc w:val="both"/>
        <w:rPr>
          <w:rFonts w:ascii="Arial" w:hAnsi="Arial" w:cs="Arial"/>
          <w:sz w:val="22"/>
          <w:szCs w:val="22"/>
        </w:rPr>
      </w:pPr>
    </w:p>
    <w:p w14:paraId="1CF2E4C4" w14:textId="7A514B01" w:rsidR="00482D56" w:rsidRDefault="00482D56" w:rsidP="00E92500">
      <w:pPr>
        <w:jc w:val="both"/>
        <w:rPr>
          <w:rFonts w:ascii="Arial" w:hAnsi="Arial" w:cs="Arial"/>
          <w:b/>
          <w:bCs/>
          <w:sz w:val="22"/>
          <w:szCs w:val="22"/>
        </w:rPr>
      </w:pPr>
      <w:r>
        <w:rPr>
          <w:rFonts w:ascii="Arial" w:hAnsi="Arial" w:cs="Arial"/>
          <w:b/>
          <w:bCs/>
          <w:sz w:val="22"/>
          <w:szCs w:val="22"/>
        </w:rPr>
        <w:t>A</w:t>
      </w:r>
      <w:r w:rsidR="00F14126">
        <w:rPr>
          <w:rFonts w:ascii="Arial" w:hAnsi="Arial" w:cs="Arial"/>
          <w:b/>
          <w:bCs/>
          <w:sz w:val="22"/>
          <w:szCs w:val="22"/>
        </w:rPr>
        <w:t>ctive Account Requirement</w:t>
      </w:r>
    </w:p>
    <w:p w14:paraId="730DF5E6" w14:textId="0ABBF792" w:rsidR="00300D29" w:rsidRDefault="00C76935" w:rsidP="00914CDA">
      <w:pPr>
        <w:jc w:val="both"/>
        <w:rPr>
          <w:rFonts w:ascii="Arial" w:hAnsi="Arial" w:cs="Arial"/>
          <w:sz w:val="22"/>
          <w:szCs w:val="22"/>
          <w:lang w:val="en-US"/>
        </w:rPr>
      </w:pPr>
      <w:r>
        <w:rPr>
          <w:rFonts w:ascii="Arial" w:hAnsi="Arial" w:cs="Arial"/>
          <w:sz w:val="22"/>
          <w:szCs w:val="22"/>
        </w:rPr>
        <w:t>A</w:t>
      </w:r>
      <w:r w:rsidR="00482D56" w:rsidRPr="00C76935">
        <w:rPr>
          <w:rFonts w:ascii="Arial" w:hAnsi="Arial" w:cs="Arial"/>
          <w:sz w:val="22"/>
          <w:szCs w:val="22"/>
        </w:rPr>
        <w:t xml:space="preserve">s </w:t>
      </w:r>
      <w:r>
        <w:rPr>
          <w:rFonts w:ascii="Arial" w:hAnsi="Arial" w:cs="Arial"/>
          <w:sz w:val="22"/>
          <w:szCs w:val="22"/>
        </w:rPr>
        <w:t xml:space="preserve">ESMA </w:t>
      </w:r>
      <w:r w:rsidR="00482D56" w:rsidRPr="00C76935">
        <w:rPr>
          <w:rFonts w:ascii="Arial" w:hAnsi="Arial" w:cs="Arial"/>
          <w:sz w:val="22"/>
          <w:szCs w:val="22"/>
        </w:rPr>
        <w:t>will be aware</w:t>
      </w:r>
      <w:r w:rsidR="009553E7">
        <w:rPr>
          <w:rFonts w:ascii="Arial" w:hAnsi="Arial" w:cs="Arial"/>
          <w:sz w:val="22"/>
          <w:szCs w:val="22"/>
        </w:rPr>
        <w:t>,</w:t>
      </w:r>
      <w:r w:rsidR="00482D56" w:rsidRPr="00C76935">
        <w:rPr>
          <w:rFonts w:ascii="Arial" w:hAnsi="Arial" w:cs="Arial"/>
          <w:sz w:val="22"/>
          <w:szCs w:val="22"/>
        </w:rPr>
        <w:t xml:space="preserve"> the </w:t>
      </w:r>
      <w:r w:rsidR="00CB408A">
        <w:rPr>
          <w:rFonts w:ascii="Arial" w:hAnsi="Arial" w:cs="Arial"/>
          <w:sz w:val="22"/>
          <w:szCs w:val="22"/>
        </w:rPr>
        <w:t xml:space="preserve">proposed </w:t>
      </w:r>
      <w:r>
        <w:rPr>
          <w:rFonts w:ascii="Arial" w:hAnsi="Arial" w:cs="Arial"/>
          <w:sz w:val="22"/>
          <w:szCs w:val="22"/>
        </w:rPr>
        <w:t>clearing thresholds</w:t>
      </w:r>
      <w:r w:rsidR="00482D56" w:rsidRPr="00C76935">
        <w:rPr>
          <w:rFonts w:ascii="Arial" w:hAnsi="Arial" w:cs="Arial"/>
          <w:sz w:val="22"/>
          <w:szCs w:val="22"/>
        </w:rPr>
        <w:t xml:space="preserve"> have an impact in the context of the </w:t>
      </w:r>
      <w:r>
        <w:rPr>
          <w:rFonts w:ascii="Arial" w:hAnsi="Arial" w:cs="Arial"/>
          <w:sz w:val="22"/>
          <w:szCs w:val="22"/>
        </w:rPr>
        <w:t>Active Account Requirement ("</w:t>
      </w:r>
      <w:r w:rsidR="00482D56" w:rsidRPr="00C76935">
        <w:rPr>
          <w:rFonts w:ascii="Arial" w:hAnsi="Arial" w:cs="Arial"/>
          <w:b/>
          <w:bCs/>
          <w:sz w:val="22"/>
          <w:szCs w:val="22"/>
        </w:rPr>
        <w:t>AAR</w:t>
      </w:r>
      <w:r>
        <w:rPr>
          <w:rFonts w:ascii="Arial" w:hAnsi="Arial" w:cs="Arial"/>
          <w:sz w:val="22"/>
          <w:szCs w:val="22"/>
        </w:rPr>
        <w:t>")</w:t>
      </w:r>
      <w:r w:rsidR="002628C7">
        <w:rPr>
          <w:rFonts w:ascii="Arial" w:hAnsi="Arial" w:cs="Arial"/>
          <w:sz w:val="22"/>
          <w:szCs w:val="22"/>
        </w:rPr>
        <w:t xml:space="preserve"> under Article 7</w:t>
      </w:r>
      <w:proofErr w:type="gramStart"/>
      <w:r w:rsidR="002628C7">
        <w:rPr>
          <w:rFonts w:ascii="Arial" w:hAnsi="Arial" w:cs="Arial"/>
          <w:sz w:val="22"/>
          <w:szCs w:val="22"/>
        </w:rPr>
        <w:t>a(</w:t>
      </w:r>
      <w:proofErr w:type="gramEnd"/>
      <w:r w:rsidR="002628C7">
        <w:rPr>
          <w:rFonts w:ascii="Arial" w:hAnsi="Arial" w:cs="Arial"/>
          <w:sz w:val="22"/>
          <w:szCs w:val="22"/>
        </w:rPr>
        <w:t>1) of EMIR 3.0</w:t>
      </w:r>
      <w:r>
        <w:rPr>
          <w:rFonts w:ascii="Arial" w:hAnsi="Arial" w:cs="Arial"/>
          <w:sz w:val="22"/>
          <w:szCs w:val="22"/>
        </w:rPr>
        <w:t xml:space="preserve">. </w:t>
      </w:r>
      <w:proofErr w:type="gramStart"/>
      <w:r>
        <w:rPr>
          <w:rFonts w:ascii="Arial" w:hAnsi="Arial" w:cs="Arial"/>
          <w:sz w:val="22"/>
          <w:szCs w:val="22"/>
        </w:rPr>
        <w:t>In particular, w</w:t>
      </w:r>
      <w:r w:rsidR="00482D56" w:rsidRPr="00C76935">
        <w:rPr>
          <w:rFonts w:ascii="Arial" w:hAnsi="Arial" w:cs="Arial"/>
          <w:sz w:val="22"/>
          <w:szCs w:val="22"/>
        </w:rPr>
        <w:t>e</w:t>
      </w:r>
      <w:proofErr w:type="gramEnd"/>
      <w:r w:rsidR="00482D56" w:rsidRPr="00C76935">
        <w:rPr>
          <w:rFonts w:ascii="Arial" w:hAnsi="Arial" w:cs="Arial"/>
          <w:sz w:val="22"/>
          <w:szCs w:val="22"/>
        </w:rPr>
        <w:t xml:space="preserve"> would draw ESMA's attention to </w:t>
      </w:r>
      <w:r>
        <w:rPr>
          <w:rFonts w:ascii="Arial" w:hAnsi="Arial" w:cs="Arial"/>
          <w:sz w:val="22"/>
          <w:szCs w:val="22"/>
        </w:rPr>
        <w:t xml:space="preserve">the application of the uncleared threshold in respect of </w:t>
      </w:r>
      <w:r w:rsidR="002628C7">
        <w:rPr>
          <w:rFonts w:ascii="Arial" w:hAnsi="Arial" w:cs="Arial"/>
          <w:sz w:val="22"/>
          <w:szCs w:val="22"/>
        </w:rPr>
        <w:t>IRDs</w:t>
      </w:r>
      <w:r w:rsidR="009553E7">
        <w:rPr>
          <w:rFonts w:ascii="Arial" w:hAnsi="Arial" w:cs="Arial"/>
          <w:sz w:val="22"/>
          <w:szCs w:val="22"/>
        </w:rPr>
        <w:t>. T</w:t>
      </w:r>
      <w:r w:rsidR="00914CDA">
        <w:rPr>
          <w:rFonts w:ascii="Arial" w:hAnsi="Arial" w:cs="Arial"/>
          <w:sz w:val="22"/>
          <w:szCs w:val="22"/>
        </w:rPr>
        <w:t xml:space="preserve">he proposed </w:t>
      </w:r>
      <w:r w:rsidR="009553E7">
        <w:rPr>
          <w:rFonts w:ascii="Arial" w:hAnsi="Arial" w:cs="Arial"/>
          <w:sz w:val="22"/>
          <w:szCs w:val="22"/>
        </w:rPr>
        <w:t xml:space="preserve">uncleared threshold would </w:t>
      </w:r>
      <w:r w:rsidR="00914CDA">
        <w:rPr>
          <w:rFonts w:ascii="Arial" w:hAnsi="Arial" w:cs="Arial"/>
          <w:sz w:val="22"/>
          <w:szCs w:val="22"/>
        </w:rPr>
        <w:t>mean that the threshold for the in-scope derivative contracts referred to in Article 7</w:t>
      </w:r>
      <w:proofErr w:type="gramStart"/>
      <w:r w:rsidR="00914CDA">
        <w:rPr>
          <w:rFonts w:ascii="Arial" w:hAnsi="Arial" w:cs="Arial"/>
          <w:sz w:val="22"/>
          <w:szCs w:val="22"/>
        </w:rPr>
        <w:t>a(</w:t>
      </w:r>
      <w:proofErr w:type="gramEnd"/>
      <w:r w:rsidR="00914CDA">
        <w:rPr>
          <w:rFonts w:ascii="Arial" w:hAnsi="Arial" w:cs="Arial"/>
          <w:sz w:val="22"/>
          <w:szCs w:val="22"/>
        </w:rPr>
        <w:t xml:space="preserve">6) is lowered from EUR 3 billion to EUR 1.8 billion. </w:t>
      </w:r>
      <w:r w:rsidRPr="00980A3F">
        <w:rPr>
          <w:rFonts w:ascii="Arial" w:hAnsi="Arial" w:cs="Arial"/>
          <w:sz w:val="22"/>
          <w:szCs w:val="22"/>
          <w:lang w:val="en-US"/>
        </w:rPr>
        <w:t xml:space="preserve">This is an unfortunate consequence that may have been overlooked when introducing the </w:t>
      </w:r>
      <w:r w:rsidR="00C7193D">
        <w:rPr>
          <w:rFonts w:ascii="Arial" w:hAnsi="Arial" w:cs="Arial"/>
          <w:sz w:val="22"/>
          <w:szCs w:val="22"/>
          <w:lang w:val="en-US"/>
        </w:rPr>
        <w:t>AAR</w:t>
      </w:r>
      <w:r w:rsidRPr="00980A3F">
        <w:rPr>
          <w:rFonts w:ascii="Arial" w:hAnsi="Arial" w:cs="Arial"/>
          <w:sz w:val="22"/>
          <w:szCs w:val="22"/>
          <w:lang w:val="en-US"/>
        </w:rPr>
        <w:t xml:space="preserve">. </w:t>
      </w:r>
    </w:p>
    <w:p w14:paraId="0D71157B" w14:textId="1FC2A053" w:rsidR="00C76935" w:rsidRPr="007664EC" w:rsidRDefault="00F66C52" w:rsidP="00E92500">
      <w:pPr>
        <w:jc w:val="both"/>
        <w:rPr>
          <w:rFonts w:ascii="Arial" w:hAnsi="Arial" w:cs="Arial"/>
          <w:sz w:val="22"/>
          <w:szCs w:val="22"/>
        </w:rPr>
      </w:pPr>
      <w:r>
        <w:rPr>
          <w:rFonts w:ascii="Arial" w:hAnsi="Arial" w:cs="Arial"/>
          <w:sz w:val="22"/>
          <w:szCs w:val="22"/>
          <w:lang w:val="en-US"/>
        </w:rPr>
        <w:t>W</w:t>
      </w:r>
      <w:r w:rsidR="00EC646D">
        <w:rPr>
          <w:rFonts w:ascii="Arial" w:hAnsi="Arial" w:cs="Arial"/>
          <w:sz w:val="22"/>
          <w:szCs w:val="22"/>
          <w:lang w:val="en-US"/>
        </w:rPr>
        <w:t xml:space="preserve">e would </w:t>
      </w:r>
      <w:r w:rsidR="000D2C15">
        <w:rPr>
          <w:rFonts w:ascii="Arial" w:hAnsi="Arial" w:cs="Arial"/>
          <w:sz w:val="22"/>
          <w:szCs w:val="22"/>
          <w:lang w:val="en-US"/>
        </w:rPr>
        <w:t>strongly recommend</w:t>
      </w:r>
      <w:r w:rsidR="00EC646D">
        <w:rPr>
          <w:rFonts w:ascii="Arial" w:hAnsi="Arial" w:cs="Arial"/>
          <w:sz w:val="22"/>
          <w:szCs w:val="22"/>
          <w:lang w:val="en-US"/>
        </w:rPr>
        <w:t xml:space="preserve"> </w:t>
      </w:r>
      <w:r w:rsidR="000D2C15">
        <w:rPr>
          <w:rFonts w:ascii="Arial" w:hAnsi="Arial" w:cs="Arial"/>
          <w:sz w:val="22"/>
          <w:szCs w:val="22"/>
          <w:lang w:val="en-US"/>
        </w:rPr>
        <w:t xml:space="preserve">that </w:t>
      </w:r>
      <w:r w:rsidR="00EC646D">
        <w:rPr>
          <w:rFonts w:ascii="Arial" w:hAnsi="Arial" w:cs="Arial"/>
          <w:sz w:val="22"/>
          <w:szCs w:val="22"/>
          <w:lang w:val="en-US"/>
        </w:rPr>
        <w:t>ESMA</w:t>
      </w:r>
      <w:r w:rsidR="00F24717">
        <w:rPr>
          <w:rFonts w:ascii="Arial" w:hAnsi="Arial" w:cs="Arial"/>
          <w:sz w:val="22"/>
          <w:szCs w:val="22"/>
          <w:lang w:val="en-US"/>
        </w:rPr>
        <w:t xml:space="preserve"> keep the AAR test unchanged and</w:t>
      </w:r>
      <w:r w:rsidR="00C76935" w:rsidRPr="00980A3F">
        <w:rPr>
          <w:rFonts w:ascii="Arial" w:hAnsi="Arial" w:cs="Arial"/>
          <w:sz w:val="22"/>
          <w:szCs w:val="22"/>
          <w:lang w:val="en-US"/>
        </w:rPr>
        <w:t xml:space="preserve"> apply the </w:t>
      </w:r>
      <w:r w:rsidR="00300D29">
        <w:rPr>
          <w:rFonts w:ascii="Arial" w:hAnsi="Arial" w:cs="Arial"/>
          <w:sz w:val="22"/>
          <w:szCs w:val="22"/>
          <w:lang w:val="en-US"/>
        </w:rPr>
        <w:t>existing</w:t>
      </w:r>
      <w:r w:rsidR="00C76935" w:rsidRPr="00980A3F">
        <w:rPr>
          <w:rFonts w:ascii="Arial" w:hAnsi="Arial" w:cs="Arial"/>
          <w:sz w:val="22"/>
          <w:szCs w:val="22"/>
          <w:lang w:val="en-US"/>
        </w:rPr>
        <w:t xml:space="preserve"> threshold of EUR 3</w:t>
      </w:r>
      <w:r w:rsidR="00300D29">
        <w:rPr>
          <w:rFonts w:ascii="Arial" w:hAnsi="Arial" w:cs="Arial"/>
          <w:sz w:val="22"/>
          <w:szCs w:val="22"/>
          <w:lang w:val="en-US"/>
        </w:rPr>
        <w:t xml:space="preserve"> </w:t>
      </w:r>
      <w:r w:rsidR="00C76935" w:rsidRPr="00980A3F">
        <w:rPr>
          <w:rFonts w:ascii="Arial" w:hAnsi="Arial" w:cs="Arial"/>
          <w:sz w:val="22"/>
          <w:szCs w:val="22"/>
          <w:lang w:val="en-US"/>
        </w:rPr>
        <w:t>b</w:t>
      </w:r>
      <w:r w:rsidR="00300D29">
        <w:rPr>
          <w:rFonts w:ascii="Arial" w:hAnsi="Arial" w:cs="Arial"/>
          <w:sz w:val="22"/>
          <w:szCs w:val="22"/>
          <w:lang w:val="en-US"/>
        </w:rPr>
        <w:t>illio</w:t>
      </w:r>
      <w:r w:rsidR="00C76935" w:rsidRPr="00980A3F">
        <w:rPr>
          <w:rFonts w:ascii="Arial" w:hAnsi="Arial" w:cs="Arial"/>
          <w:sz w:val="22"/>
          <w:szCs w:val="22"/>
          <w:lang w:val="en-US"/>
        </w:rPr>
        <w:t xml:space="preserve">n </w:t>
      </w:r>
      <w:r w:rsidR="00F24717">
        <w:rPr>
          <w:rFonts w:ascii="Arial" w:hAnsi="Arial" w:cs="Arial"/>
          <w:sz w:val="22"/>
          <w:szCs w:val="22"/>
          <w:lang w:val="en-US"/>
        </w:rPr>
        <w:t>for th</w:t>
      </w:r>
      <w:r w:rsidR="0045499A">
        <w:rPr>
          <w:rFonts w:ascii="Arial" w:hAnsi="Arial" w:cs="Arial"/>
          <w:sz w:val="22"/>
          <w:szCs w:val="22"/>
          <w:lang w:val="en-US"/>
        </w:rPr>
        <w:t>is purpose</w:t>
      </w:r>
      <w:r>
        <w:rPr>
          <w:rFonts w:ascii="Arial" w:hAnsi="Arial" w:cs="Arial"/>
          <w:sz w:val="22"/>
          <w:szCs w:val="22"/>
          <w:lang w:val="en-US"/>
        </w:rPr>
        <w:t>.</w:t>
      </w:r>
      <w:r w:rsidR="00C76935" w:rsidRPr="00980A3F">
        <w:rPr>
          <w:rFonts w:ascii="Arial" w:hAnsi="Arial" w:cs="Arial"/>
          <w:sz w:val="22"/>
          <w:szCs w:val="22"/>
          <w:lang w:val="en-US"/>
        </w:rPr>
        <w:t xml:space="preserve"> </w:t>
      </w:r>
      <w:r w:rsidRPr="00980A3F">
        <w:rPr>
          <w:rFonts w:ascii="Arial" w:hAnsi="Arial" w:cs="Arial"/>
          <w:sz w:val="22"/>
          <w:szCs w:val="22"/>
          <w:lang w:val="en-US"/>
        </w:rPr>
        <w:t>Considering that the</w:t>
      </w:r>
      <w:r>
        <w:rPr>
          <w:rFonts w:ascii="Arial" w:hAnsi="Arial" w:cs="Arial"/>
          <w:sz w:val="22"/>
          <w:szCs w:val="22"/>
          <w:lang w:val="en-US"/>
        </w:rPr>
        <w:t xml:space="preserve"> AAR is a test that applies in respect of </w:t>
      </w:r>
      <w:proofErr w:type="gramStart"/>
      <w:r>
        <w:rPr>
          <w:rFonts w:ascii="Arial" w:hAnsi="Arial" w:cs="Arial"/>
          <w:sz w:val="22"/>
          <w:szCs w:val="22"/>
          <w:lang w:val="en-US"/>
        </w:rPr>
        <w:t>cleared</w:t>
      </w:r>
      <w:proofErr w:type="gramEnd"/>
      <w:r>
        <w:rPr>
          <w:rFonts w:ascii="Arial" w:hAnsi="Arial" w:cs="Arial"/>
          <w:sz w:val="22"/>
          <w:szCs w:val="22"/>
          <w:lang w:val="en-US"/>
        </w:rPr>
        <w:t xml:space="preserve"> transactions</w:t>
      </w:r>
      <w:r w:rsidRPr="00980A3F">
        <w:rPr>
          <w:rFonts w:ascii="Arial" w:hAnsi="Arial" w:cs="Arial"/>
          <w:sz w:val="22"/>
          <w:szCs w:val="22"/>
          <w:lang w:val="en-US"/>
        </w:rPr>
        <w:t xml:space="preserve">, </w:t>
      </w:r>
      <w:r>
        <w:rPr>
          <w:rFonts w:ascii="Arial" w:hAnsi="Arial" w:cs="Arial"/>
          <w:sz w:val="22"/>
          <w:szCs w:val="22"/>
          <w:lang w:val="en-US"/>
        </w:rPr>
        <w:t xml:space="preserve">it is inadvisable to revise the threshold in respect of the AAR </w:t>
      </w:r>
      <w:r w:rsidR="006A21B0">
        <w:rPr>
          <w:rFonts w:ascii="Arial" w:hAnsi="Arial" w:cs="Arial"/>
          <w:sz w:val="22"/>
          <w:szCs w:val="22"/>
          <w:lang w:val="en-US"/>
        </w:rPr>
        <w:t>i</w:t>
      </w:r>
      <w:r w:rsidR="00452C5B">
        <w:rPr>
          <w:rFonts w:ascii="Arial" w:hAnsi="Arial" w:cs="Arial"/>
          <w:sz w:val="22"/>
          <w:szCs w:val="22"/>
          <w:lang w:val="en-US"/>
        </w:rPr>
        <w:t>f</w:t>
      </w:r>
      <w:r w:rsidR="006A21B0">
        <w:rPr>
          <w:rFonts w:ascii="Arial" w:hAnsi="Arial" w:cs="Arial"/>
          <w:sz w:val="22"/>
          <w:szCs w:val="22"/>
          <w:lang w:val="en-US"/>
        </w:rPr>
        <w:t xml:space="preserve"> ESMA adopts</w:t>
      </w:r>
      <w:r>
        <w:rPr>
          <w:rFonts w:ascii="Arial" w:hAnsi="Arial" w:cs="Arial"/>
          <w:sz w:val="22"/>
          <w:szCs w:val="22"/>
          <w:lang w:val="en-US"/>
        </w:rPr>
        <w:t xml:space="preserve"> the proposed</w:t>
      </w:r>
      <w:r w:rsidR="003D3240">
        <w:rPr>
          <w:rFonts w:ascii="Arial" w:hAnsi="Arial" w:cs="Arial"/>
          <w:sz w:val="22"/>
          <w:szCs w:val="22"/>
          <w:lang w:val="en-US"/>
        </w:rPr>
        <w:t xml:space="preserve"> uncleared threshold of</w:t>
      </w:r>
      <w:r>
        <w:rPr>
          <w:rFonts w:ascii="Arial" w:hAnsi="Arial" w:cs="Arial"/>
          <w:sz w:val="22"/>
          <w:szCs w:val="22"/>
          <w:lang w:val="en-US"/>
        </w:rPr>
        <w:t xml:space="preserve"> EUR 1.8 billion. We also note that t</w:t>
      </w:r>
      <w:r w:rsidR="00C76935" w:rsidRPr="00980A3F">
        <w:rPr>
          <w:rFonts w:ascii="Arial" w:hAnsi="Arial" w:cs="Arial"/>
          <w:sz w:val="22"/>
          <w:szCs w:val="22"/>
          <w:lang w:val="en-US"/>
        </w:rPr>
        <w:t>he application of the EUR 3</w:t>
      </w:r>
      <w:r w:rsidR="00300D29">
        <w:rPr>
          <w:rFonts w:ascii="Arial" w:hAnsi="Arial" w:cs="Arial"/>
          <w:sz w:val="22"/>
          <w:szCs w:val="22"/>
          <w:lang w:val="en-US"/>
        </w:rPr>
        <w:t xml:space="preserve"> </w:t>
      </w:r>
      <w:r w:rsidR="00C76935" w:rsidRPr="00980A3F">
        <w:rPr>
          <w:rFonts w:ascii="Arial" w:hAnsi="Arial" w:cs="Arial"/>
          <w:sz w:val="22"/>
          <w:szCs w:val="22"/>
          <w:lang w:val="en-US"/>
        </w:rPr>
        <w:t>b</w:t>
      </w:r>
      <w:r w:rsidR="00300D29">
        <w:rPr>
          <w:rFonts w:ascii="Arial" w:hAnsi="Arial" w:cs="Arial"/>
          <w:sz w:val="22"/>
          <w:szCs w:val="22"/>
          <w:lang w:val="en-US"/>
        </w:rPr>
        <w:t>illio</w:t>
      </w:r>
      <w:r w:rsidR="00C76935" w:rsidRPr="00980A3F">
        <w:rPr>
          <w:rFonts w:ascii="Arial" w:hAnsi="Arial" w:cs="Arial"/>
          <w:sz w:val="22"/>
          <w:szCs w:val="22"/>
          <w:lang w:val="en-US"/>
        </w:rPr>
        <w:t xml:space="preserve">n threshold would </w:t>
      </w:r>
      <w:proofErr w:type="spellStart"/>
      <w:r w:rsidR="00C76935" w:rsidRPr="00980A3F">
        <w:rPr>
          <w:rFonts w:ascii="Arial" w:hAnsi="Arial" w:cs="Arial"/>
          <w:sz w:val="22"/>
          <w:szCs w:val="22"/>
          <w:lang w:val="en-US"/>
        </w:rPr>
        <w:t>minimi</w:t>
      </w:r>
      <w:r w:rsidR="00C7193D">
        <w:rPr>
          <w:rFonts w:ascii="Arial" w:hAnsi="Arial" w:cs="Arial"/>
          <w:sz w:val="22"/>
          <w:szCs w:val="22"/>
          <w:lang w:val="en-US"/>
        </w:rPr>
        <w:t>s</w:t>
      </w:r>
      <w:r w:rsidR="00C76935" w:rsidRPr="00980A3F">
        <w:rPr>
          <w:rFonts w:ascii="Arial" w:hAnsi="Arial" w:cs="Arial"/>
          <w:sz w:val="22"/>
          <w:szCs w:val="22"/>
          <w:lang w:val="en-US"/>
        </w:rPr>
        <w:t>e</w:t>
      </w:r>
      <w:proofErr w:type="spellEnd"/>
      <w:r w:rsidR="00C76935" w:rsidRPr="00980A3F">
        <w:rPr>
          <w:rFonts w:ascii="Arial" w:hAnsi="Arial" w:cs="Arial"/>
          <w:sz w:val="22"/>
          <w:szCs w:val="22"/>
          <w:lang w:val="en-US"/>
        </w:rPr>
        <w:t xml:space="preserve"> the gap to the </w:t>
      </w:r>
      <w:r w:rsidR="0045499A">
        <w:rPr>
          <w:rFonts w:ascii="Arial" w:hAnsi="Arial" w:cs="Arial"/>
          <w:sz w:val="22"/>
          <w:szCs w:val="22"/>
          <w:lang w:val="en-US"/>
        </w:rPr>
        <w:t xml:space="preserve">EUR </w:t>
      </w:r>
      <w:r w:rsidR="00C76935" w:rsidRPr="00980A3F">
        <w:rPr>
          <w:rFonts w:ascii="Arial" w:hAnsi="Arial" w:cs="Arial"/>
          <w:sz w:val="22"/>
          <w:szCs w:val="22"/>
          <w:lang w:val="en-US"/>
        </w:rPr>
        <w:t>6</w:t>
      </w:r>
      <w:r w:rsidR="0045499A">
        <w:rPr>
          <w:rFonts w:ascii="Arial" w:hAnsi="Arial" w:cs="Arial"/>
          <w:sz w:val="22"/>
          <w:szCs w:val="22"/>
          <w:lang w:val="en-US"/>
        </w:rPr>
        <w:t xml:space="preserve"> </w:t>
      </w:r>
      <w:r w:rsidR="00C76935" w:rsidRPr="00980A3F">
        <w:rPr>
          <w:rFonts w:ascii="Arial" w:hAnsi="Arial" w:cs="Arial"/>
          <w:sz w:val="22"/>
          <w:szCs w:val="22"/>
          <w:lang w:val="en-US"/>
        </w:rPr>
        <w:t>b</w:t>
      </w:r>
      <w:r w:rsidR="0045499A">
        <w:rPr>
          <w:rFonts w:ascii="Arial" w:hAnsi="Arial" w:cs="Arial"/>
          <w:sz w:val="22"/>
          <w:szCs w:val="22"/>
          <w:lang w:val="en-US"/>
        </w:rPr>
        <w:t>illio</w:t>
      </w:r>
      <w:r w:rsidR="00C76935" w:rsidRPr="00980A3F">
        <w:rPr>
          <w:rFonts w:ascii="Arial" w:hAnsi="Arial" w:cs="Arial"/>
          <w:sz w:val="22"/>
          <w:szCs w:val="22"/>
          <w:lang w:val="en-US"/>
        </w:rPr>
        <w:t>n threshold that applies with respect to the representativeness obligation.</w:t>
      </w:r>
    </w:p>
    <w:p w14:paraId="6B49BB90" w14:textId="0D0C64ED" w:rsidR="00BA137F" w:rsidRPr="00D67CE4" w:rsidRDefault="00BA137F" w:rsidP="00E92500">
      <w:pPr>
        <w:jc w:val="both"/>
        <w:rPr>
          <w:rFonts w:ascii="Arial" w:hAnsi="Arial" w:cs="Arial"/>
          <w:b/>
          <w:bCs/>
          <w:sz w:val="22"/>
          <w:szCs w:val="22"/>
        </w:rPr>
      </w:pPr>
      <w:r w:rsidRPr="00D67CE4">
        <w:rPr>
          <w:rFonts w:ascii="Arial" w:hAnsi="Arial" w:cs="Arial"/>
          <w:b/>
          <w:bCs/>
          <w:sz w:val="22"/>
          <w:szCs w:val="22"/>
        </w:rPr>
        <w:t xml:space="preserve">Question 4:  </w:t>
      </w:r>
      <w:r w:rsidR="00E92500" w:rsidRPr="00E92500">
        <w:rPr>
          <w:rFonts w:ascii="Arial" w:hAnsi="Arial" w:cs="Arial"/>
          <w:b/>
          <w:bCs/>
          <w:sz w:val="22"/>
          <w:szCs w:val="22"/>
        </w:rPr>
        <w:t>Do you agree with ESMA’s proposal not to introduce in the RTS separate thresholds</w:t>
      </w:r>
      <w:r w:rsidR="00E92500">
        <w:rPr>
          <w:rFonts w:ascii="Arial" w:hAnsi="Arial" w:cs="Arial"/>
          <w:b/>
          <w:bCs/>
          <w:sz w:val="22"/>
          <w:szCs w:val="22"/>
        </w:rPr>
        <w:t xml:space="preserve"> </w:t>
      </w:r>
      <w:r w:rsidR="00E92500" w:rsidRPr="00E92500">
        <w:rPr>
          <w:rFonts w:ascii="Arial" w:hAnsi="Arial" w:cs="Arial"/>
          <w:b/>
          <w:bCs/>
          <w:sz w:val="22"/>
          <w:szCs w:val="22"/>
        </w:rPr>
        <w:t>for the various commodity derivatives sub-asset classes at this stage? If not, please</w:t>
      </w:r>
      <w:r w:rsidR="00E92500">
        <w:rPr>
          <w:rFonts w:ascii="Arial" w:hAnsi="Arial" w:cs="Arial"/>
          <w:b/>
          <w:bCs/>
          <w:sz w:val="22"/>
          <w:szCs w:val="22"/>
        </w:rPr>
        <w:t xml:space="preserve"> </w:t>
      </w:r>
      <w:r w:rsidR="00E92500" w:rsidRPr="00E92500">
        <w:rPr>
          <w:rFonts w:ascii="Arial" w:hAnsi="Arial" w:cs="Arial"/>
          <w:b/>
          <w:bCs/>
          <w:sz w:val="22"/>
          <w:szCs w:val="22"/>
        </w:rPr>
        <w:t>elaborate.</w:t>
      </w:r>
    </w:p>
    <w:p w14:paraId="346FCBD4" w14:textId="0B9A5B09" w:rsidR="0029253B" w:rsidRDefault="00156C09" w:rsidP="00A37857">
      <w:pPr>
        <w:spacing w:after="0"/>
        <w:jc w:val="both"/>
        <w:rPr>
          <w:rFonts w:ascii="Arial" w:hAnsi="Arial" w:cs="Arial"/>
          <w:sz w:val="22"/>
          <w:szCs w:val="22"/>
        </w:rPr>
      </w:pPr>
      <w:r>
        <w:rPr>
          <w:rFonts w:ascii="Arial" w:hAnsi="Arial" w:cs="Arial"/>
          <w:sz w:val="22"/>
          <w:szCs w:val="22"/>
        </w:rPr>
        <w:t xml:space="preserve">We agree </w:t>
      </w:r>
      <w:r w:rsidR="0042514E">
        <w:rPr>
          <w:rFonts w:ascii="Arial" w:hAnsi="Arial" w:cs="Arial"/>
          <w:sz w:val="22"/>
          <w:szCs w:val="22"/>
        </w:rPr>
        <w:t>and welcome</w:t>
      </w:r>
      <w:r>
        <w:rPr>
          <w:rFonts w:ascii="Arial" w:hAnsi="Arial" w:cs="Arial"/>
          <w:sz w:val="22"/>
          <w:szCs w:val="22"/>
        </w:rPr>
        <w:t xml:space="preserve"> ESMA's proposal </w:t>
      </w:r>
      <w:r w:rsidR="0027453A">
        <w:rPr>
          <w:rFonts w:ascii="Arial" w:hAnsi="Arial" w:cs="Arial"/>
          <w:sz w:val="22"/>
          <w:szCs w:val="22"/>
        </w:rPr>
        <w:t xml:space="preserve">not to introduce more granular sub-asset classes for commodity derivatives </w:t>
      </w:r>
      <w:r w:rsidR="008A6F32">
        <w:rPr>
          <w:rFonts w:ascii="Arial" w:hAnsi="Arial" w:cs="Arial"/>
          <w:sz w:val="22"/>
          <w:szCs w:val="22"/>
        </w:rPr>
        <w:t xml:space="preserve">but </w:t>
      </w:r>
      <w:r w:rsidR="00B13E9C">
        <w:rPr>
          <w:rFonts w:ascii="Arial" w:hAnsi="Arial" w:cs="Arial"/>
          <w:sz w:val="22"/>
          <w:szCs w:val="22"/>
        </w:rPr>
        <w:t xml:space="preserve">to </w:t>
      </w:r>
      <w:r>
        <w:rPr>
          <w:rFonts w:ascii="Arial" w:hAnsi="Arial" w:cs="Arial"/>
          <w:sz w:val="22"/>
          <w:szCs w:val="22"/>
        </w:rPr>
        <w:t xml:space="preserve">maintain </w:t>
      </w:r>
      <w:r w:rsidR="0027453A">
        <w:rPr>
          <w:rFonts w:ascii="Arial" w:hAnsi="Arial" w:cs="Arial"/>
          <w:sz w:val="22"/>
          <w:szCs w:val="22"/>
        </w:rPr>
        <w:t>an</w:t>
      </w:r>
      <w:r>
        <w:rPr>
          <w:rFonts w:ascii="Arial" w:hAnsi="Arial" w:cs="Arial"/>
          <w:sz w:val="22"/>
          <w:szCs w:val="22"/>
        </w:rPr>
        <w:t xml:space="preserve"> aggregated threshold</w:t>
      </w:r>
      <w:r w:rsidR="008A6F32">
        <w:rPr>
          <w:rFonts w:ascii="Arial" w:hAnsi="Arial" w:cs="Arial"/>
          <w:sz w:val="22"/>
          <w:szCs w:val="22"/>
        </w:rPr>
        <w:t xml:space="preserve"> for commodities generally</w:t>
      </w:r>
      <w:r w:rsidR="0042514E">
        <w:rPr>
          <w:rFonts w:ascii="Arial" w:hAnsi="Arial" w:cs="Arial"/>
          <w:sz w:val="22"/>
          <w:szCs w:val="22"/>
        </w:rPr>
        <w:t>.</w:t>
      </w:r>
      <w:r w:rsidR="004930EF">
        <w:rPr>
          <w:rFonts w:ascii="Arial" w:hAnsi="Arial" w:cs="Arial"/>
          <w:sz w:val="22"/>
          <w:szCs w:val="22"/>
        </w:rPr>
        <w:t xml:space="preserve"> Although note our response to Question 5 in relation to emission allowance derivatives.</w:t>
      </w:r>
      <w:r w:rsidR="004B4ADA">
        <w:rPr>
          <w:rFonts w:ascii="Arial" w:hAnsi="Arial" w:cs="Arial"/>
          <w:sz w:val="22"/>
          <w:szCs w:val="22"/>
        </w:rPr>
        <w:t xml:space="preserve"> </w:t>
      </w:r>
    </w:p>
    <w:p w14:paraId="43D2A85A" w14:textId="77777777" w:rsidR="0029253B" w:rsidRDefault="0029253B" w:rsidP="00A37857">
      <w:pPr>
        <w:spacing w:after="0"/>
        <w:jc w:val="both"/>
        <w:rPr>
          <w:rFonts w:ascii="Arial" w:hAnsi="Arial" w:cs="Arial"/>
          <w:sz w:val="22"/>
          <w:szCs w:val="22"/>
        </w:rPr>
      </w:pPr>
    </w:p>
    <w:p w14:paraId="2CC19E09" w14:textId="612E6DCE" w:rsidR="00024B9C" w:rsidRDefault="0029253B" w:rsidP="00A37857">
      <w:pPr>
        <w:spacing w:after="0"/>
        <w:jc w:val="both"/>
        <w:rPr>
          <w:rFonts w:ascii="Arial" w:hAnsi="Arial" w:cs="Arial"/>
          <w:sz w:val="22"/>
          <w:szCs w:val="22"/>
        </w:rPr>
      </w:pPr>
      <w:r>
        <w:rPr>
          <w:rFonts w:ascii="Arial" w:hAnsi="Arial" w:cs="Arial"/>
          <w:sz w:val="22"/>
          <w:szCs w:val="22"/>
        </w:rPr>
        <w:t>I</w:t>
      </w:r>
      <w:r w:rsidR="004B4ADA">
        <w:rPr>
          <w:rFonts w:ascii="Arial" w:hAnsi="Arial" w:cs="Arial"/>
          <w:sz w:val="22"/>
          <w:szCs w:val="22"/>
        </w:rPr>
        <w:t xml:space="preserve">n case of future </w:t>
      </w:r>
      <w:r w:rsidR="002F73D4">
        <w:rPr>
          <w:rFonts w:ascii="Arial" w:hAnsi="Arial" w:cs="Arial"/>
          <w:sz w:val="22"/>
          <w:szCs w:val="22"/>
        </w:rPr>
        <w:t>consultations in respect of commodity sub-asset classes</w:t>
      </w:r>
      <w:r w:rsidR="004B4ADA">
        <w:rPr>
          <w:rFonts w:ascii="Arial" w:hAnsi="Arial" w:cs="Arial"/>
          <w:sz w:val="22"/>
          <w:szCs w:val="22"/>
        </w:rPr>
        <w:t xml:space="preserve">, </w:t>
      </w:r>
      <w:r w:rsidR="0071735B">
        <w:rPr>
          <w:rFonts w:ascii="Arial" w:hAnsi="Arial" w:cs="Arial"/>
          <w:sz w:val="22"/>
          <w:szCs w:val="22"/>
        </w:rPr>
        <w:t xml:space="preserve">we would encourage ESMA to consider </w:t>
      </w:r>
      <w:r w:rsidR="004B4ADA">
        <w:rPr>
          <w:rFonts w:ascii="Arial" w:hAnsi="Arial" w:cs="Arial"/>
          <w:sz w:val="22"/>
          <w:szCs w:val="22"/>
        </w:rPr>
        <w:t>the</w:t>
      </w:r>
      <w:r w:rsidR="00CA74C7">
        <w:rPr>
          <w:rFonts w:ascii="Arial" w:hAnsi="Arial" w:cs="Arial"/>
          <w:sz w:val="22"/>
          <w:szCs w:val="22"/>
        </w:rPr>
        <w:t xml:space="preserve"> following challenges</w:t>
      </w:r>
      <w:r w:rsidR="004B4ADA">
        <w:rPr>
          <w:rFonts w:ascii="Arial" w:hAnsi="Arial" w:cs="Arial"/>
          <w:sz w:val="22"/>
          <w:szCs w:val="22"/>
        </w:rPr>
        <w:t>, operational and otherwise,</w:t>
      </w:r>
      <w:r w:rsidR="00CA74C7">
        <w:rPr>
          <w:rFonts w:ascii="Arial" w:hAnsi="Arial" w:cs="Arial"/>
          <w:sz w:val="22"/>
          <w:szCs w:val="22"/>
        </w:rPr>
        <w:t xml:space="preserve"> that </w:t>
      </w:r>
      <w:r>
        <w:rPr>
          <w:rFonts w:ascii="Arial" w:hAnsi="Arial" w:cs="Arial"/>
          <w:sz w:val="22"/>
          <w:szCs w:val="22"/>
        </w:rPr>
        <w:t>may</w:t>
      </w:r>
      <w:r w:rsidR="00CA74C7">
        <w:rPr>
          <w:rFonts w:ascii="Arial" w:hAnsi="Arial" w:cs="Arial"/>
          <w:sz w:val="22"/>
          <w:szCs w:val="22"/>
        </w:rPr>
        <w:t xml:space="preserve"> arise by</w:t>
      </w:r>
      <w:r w:rsidR="005F4BDF">
        <w:rPr>
          <w:rFonts w:ascii="Arial" w:hAnsi="Arial" w:cs="Arial"/>
          <w:sz w:val="22"/>
          <w:szCs w:val="22"/>
        </w:rPr>
        <w:t xml:space="preserve"> i</w:t>
      </w:r>
      <w:r w:rsidR="00C11A34">
        <w:rPr>
          <w:rFonts w:ascii="Arial" w:hAnsi="Arial" w:cs="Arial"/>
          <w:sz w:val="22"/>
          <w:szCs w:val="22"/>
        </w:rPr>
        <w:t>ntroduc</w:t>
      </w:r>
      <w:r w:rsidR="0042514E">
        <w:rPr>
          <w:rFonts w:ascii="Arial" w:hAnsi="Arial" w:cs="Arial"/>
          <w:sz w:val="22"/>
          <w:szCs w:val="22"/>
        </w:rPr>
        <w:t>ing</w:t>
      </w:r>
      <w:r w:rsidR="00CA74C7">
        <w:rPr>
          <w:rFonts w:ascii="Arial" w:hAnsi="Arial" w:cs="Arial"/>
          <w:sz w:val="22"/>
          <w:szCs w:val="22"/>
        </w:rPr>
        <w:t xml:space="preserve"> commodity derivative</w:t>
      </w:r>
      <w:r w:rsidR="00C11A34">
        <w:rPr>
          <w:rFonts w:ascii="Arial" w:hAnsi="Arial" w:cs="Arial"/>
          <w:sz w:val="22"/>
          <w:szCs w:val="22"/>
        </w:rPr>
        <w:t xml:space="preserve"> </w:t>
      </w:r>
      <w:r w:rsidR="0042514E">
        <w:rPr>
          <w:rFonts w:ascii="Arial" w:hAnsi="Arial" w:cs="Arial"/>
          <w:sz w:val="22"/>
          <w:szCs w:val="22"/>
        </w:rPr>
        <w:t>sub-asset classes</w:t>
      </w:r>
      <w:r w:rsidR="00CA74C7">
        <w:rPr>
          <w:rFonts w:ascii="Arial" w:hAnsi="Arial" w:cs="Arial"/>
          <w:sz w:val="22"/>
          <w:szCs w:val="22"/>
        </w:rPr>
        <w:t>:</w:t>
      </w:r>
    </w:p>
    <w:p w14:paraId="3B4EC15F" w14:textId="77777777" w:rsidR="006A798C" w:rsidRDefault="006A798C" w:rsidP="00A37857">
      <w:pPr>
        <w:spacing w:after="0"/>
        <w:jc w:val="both"/>
        <w:rPr>
          <w:rFonts w:ascii="Arial" w:hAnsi="Arial" w:cs="Arial"/>
          <w:sz w:val="22"/>
          <w:szCs w:val="22"/>
        </w:rPr>
      </w:pPr>
    </w:p>
    <w:p w14:paraId="49B62092" w14:textId="77777777" w:rsidR="0029253B" w:rsidRPr="0029253B" w:rsidRDefault="005A3671" w:rsidP="00E2420C">
      <w:pPr>
        <w:pStyle w:val="ListParagraph"/>
        <w:numPr>
          <w:ilvl w:val="0"/>
          <w:numId w:val="18"/>
        </w:numPr>
        <w:spacing w:after="0"/>
        <w:jc w:val="both"/>
        <w:rPr>
          <w:rFonts w:ascii="Arial" w:hAnsi="Arial" w:cs="Arial"/>
          <w:sz w:val="22"/>
          <w:szCs w:val="22"/>
          <w:lang w:val="en-US"/>
        </w:rPr>
      </w:pPr>
      <w:r w:rsidRPr="00E2420C">
        <w:rPr>
          <w:rFonts w:ascii="Arial" w:hAnsi="Arial" w:cs="Arial"/>
          <w:b/>
          <w:bCs/>
          <w:sz w:val="22"/>
          <w:szCs w:val="22"/>
          <w:lang w:val="nl-NL"/>
        </w:rPr>
        <w:t xml:space="preserve">Activity across multiple commodity </w:t>
      </w:r>
      <w:r w:rsidR="006C0541" w:rsidRPr="00E2420C">
        <w:rPr>
          <w:rFonts w:ascii="Arial" w:hAnsi="Arial" w:cs="Arial"/>
          <w:b/>
          <w:bCs/>
          <w:sz w:val="22"/>
          <w:szCs w:val="22"/>
          <w:lang w:val="nl-NL"/>
        </w:rPr>
        <w:t>sub-</w:t>
      </w:r>
      <w:r w:rsidRPr="00E2420C">
        <w:rPr>
          <w:rFonts w:ascii="Arial" w:hAnsi="Arial" w:cs="Arial"/>
          <w:b/>
          <w:bCs/>
          <w:sz w:val="22"/>
          <w:szCs w:val="22"/>
          <w:lang w:val="nl-NL"/>
        </w:rPr>
        <w:t>asset classes</w:t>
      </w:r>
      <w:r w:rsidRPr="00E2420C">
        <w:rPr>
          <w:rFonts w:ascii="Arial" w:hAnsi="Arial" w:cs="Arial"/>
          <w:sz w:val="22"/>
          <w:szCs w:val="22"/>
          <w:lang w:val="nl-NL"/>
        </w:rPr>
        <w:t xml:space="preserve">. </w:t>
      </w:r>
    </w:p>
    <w:p w14:paraId="556BAB5F" w14:textId="77777777" w:rsidR="0029253B" w:rsidRDefault="0029253B" w:rsidP="0029253B">
      <w:pPr>
        <w:pStyle w:val="ListParagraph"/>
        <w:spacing w:after="0"/>
        <w:ind w:left="644"/>
        <w:jc w:val="both"/>
        <w:rPr>
          <w:rFonts w:ascii="Arial" w:hAnsi="Arial" w:cs="Arial"/>
          <w:b/>
          <w:bCs/>
          <w:sz w:val="22"/>
          <w:szCs w:val="22"/>
          <w:lang w:val="en-US"/>
        </w:rPr>
      </w:pPr>
    </w:p>
    <w:p w14:paraId="7A8D8219" w14:textId="0E0819B4" w:rsidR="00E2420C" w:rsidRPr="00E2420C" w:rsidRDefault="00E24D2E" w:rsidP="0029253B">
      <w:pPr>
        <w:pStyle w:val="ListParagraph"/>
        <w:spacing w:after="0"/>
        <w:ind w:left="644"/>
        <w:jc w:val="both"/>
        <w:rPr>
          <w:rFonts w:ascii="Arial" w:hAnsi="Arial" w:cs="Arial"/>
          <w:sz w:val="22"/>
          <w:szCs w:val="22"/>
          <w:lang w:val="en-US"/>
        </w:rPr>
      </w:pPr>
      <w:r>
        <w:rPr>
          <w:rFonts w:ascii="Arial" w:hAnsi="Arial" w:cs="Arial"/>
          <w:sz w:val="22"/>
          <w:szCs w:val="22"/>
          <w:lang w:val="nl-NL"/>
        </w:rPr>
        <w:t>T</w:t>
      </w:r>
      <w:r w:rsidR="006A798C" w:rsidRPr="00E2420C">
        <w:rPr>
          <w:rFonts w:ascii="Arial" w:hAnsi="Arial" w:cs="Arial"/>
          <w:sz w:val="22"/>
          <w:szCs w:val="22"/>
          <w:lang w:val="nl-NL"/>
        </w:rPr>
        <w:t>rading firms are often</w:t>
      </w:r>
      <w:r w:rsidR="00F72D5D" w:rsidRPr="00E2420C">
        <w:rPr>
          <w:rFonts w:ascii="Arial" w:hAnsi="Arial" w:cs="Arial"/>
          <w:sz w:val="22"/>
          <w:szCs w:val="22"/>
          <w:lang w:val="nl-NL"/>
        </w:rPr>
        <w:t xml:space="preserve"> simultaneously</w:t>
      </w:r>
      <w:r w:rsidR="006A798C" w:rsidRPr="00E2420C">
        <w:rPr>
          <w:rFonts w:ascii="Arial" w:hAnsi="Arial" w:cs="Arial"/>
          <w:sz w:val="22"/>
          <w:szCs w:val="22"/>
          <w:lang w:val="nl-NL"/>
        </w:rPr>
        <w:t xml:space="preserve"> active in multiple commodity asset classes</w:t>
      </w:r>
      <w:r w:rsidR="00D12142" w:rsidRPr="00E2420C">
        <w:rPr>
          <w:rFonts w:ascii="Arial" w:hAnsi="Arial" w:cs="Arial"/>
          <w:sz w:val="22"/>
          <w:szCs w:val="22"/>
          <w:lang w:val="nl-NL"/>
        </w:rPr>
        <w:t>.</w:t>
      </w:r>
      <w:r w:rsidR="003C0D84" w:rsidRPr="00E2420C">
        <w:rPr>
          <w:rFonts w:ascii="Arial" w:hAnsi="Arial" w:cs="Arial"/>
          <w:sz w:val="22"/>
          <w:szCs w:val="22"/>
          <w:lang w:val="nl-NL"/>
        </w:rPr>
        <w:t xml:space="preserve"> </w:t>
      </w:r>
      <w:r w:rsidR="00537422">
        <w:rPr>
          <w:rFonts w:ascii="Arial" w:hAnsi="Arial" w:cs="Arial"/>
          <w:sz w:val="22"/>
          <w:szCs w:val="22"/>
          <w:lang w:val="nl-NL"/>
        </w:rPr>
        <w:t>E</w:t>
      </w:r>
      <w:r w:rsidR="006A798C" w:rsidRPr="00E2420C">
        <w:rPr>
          <w:rFonts w:ascii="Arial" w:hAnsi="Arial" w:cs="Arial"/>
          <w:sz w:val="22"/>
          <w:szCs w:val="22"/>
          <w:lang w:val="nl-NL"/>
        </w:rPr>
        <w:t>nergy firms</w:t>
      </w:r>
      <w:r w:rsidR="00537422">
        <w:rPr>
          <w:rFonts w:ascii="Arial" w:hAnsi="Arial" w:cs="Arial"/>
          <w:sz w:val="22"/>
          <w:szCs w:val="22"/>
          <w:lang w:val="nl-NL"/>
        </w:rPr>
        <w:t xml:space="preserve">, for example, </w:t>
      </w:r>
      <w:r w:rsidR="006A798C" w:rsidRPr="00E2420C">
        <w:rPr>
          <w:rFonts w:ascii="Arial" w:hAnsi="Arial" w:cs="Arial"/>
          <w:sz w:val="22"/>
          <w:szCs w:val="22"/>
          <w:lang w:val="nl-NL"/>
        </w:rPr>
        <w:t xml:space="preserve">are active in various energy markets (power, gas, coal, oil) to manage their commercial energy production and supply (market) risks. </w:t>
      </w:r>
      <w:r w:rsidR="00537422">
        <w:rPr>
          <w:rFonts w:ascii="Arial" w:hAnsi="Arial" w:cs="Arial"/>
          <w:sz w:val="22"/>
          <w:szCs w:val="22"/>
          <w:lang w:val="nl-NL"/>
        </w:rPr>
        <w:t>However, t</w:t>
      </w:r>
      <w:r w:rsidR="006A798C" w:rsidRPr="00E2420C">
        <w:rPr>
          <w:rFonts w:ascii="Arial" w:hAnsi="Arial" w:cs="Arial"/>
          <w:sz w:val="22"/>
          <w:szCs w:val="22"/>
          <w:lang w:val="nl-NL"/>
        </w:rPr>
        <w:t>hey m</w:t>
      </w:r>
      <w:r w:rsidR="00B973A7" w:rsidRPr="00E2420C">
        <w:rPr>
          <w:rFonts w:ascii="Arial" w:hAnsi="Arial" w:cs="Arial"/>
          <w:sz w:val="22"/>
          <w:szCs w:val="22"/>
          <w:lang w:val="nl-NL"/>
        </w:rPr>
        <w:t>ay</w:t>
      </w:r>
      <w:r w:rsidR="006A798C" w:rsidRPr="00E2420C">
        <w:rPr>
          <w:rFonts w:ascii="Arial" w:hAnsi="Arial" w:cs="Arial"/>
          <w:sz w:val="22"/>
          <w:szCs w:val="22"/>
          <w:lang w:val="nl-NL"/>
        </w:rPr>
        <w:t xml:space="preserve"> also be active in other commodity markets (metals, raw materials) to</w:t>
      </w:r>
      <w:r w:rsidR="00537422">
        <w:rPr>
          <w:rFonts w:ascii="Arial" w:hAnsi="Arial" w:cs="Arial"/>
          <w:sz w:val="22"/>
          <w:szCs w:val="22"/>
          <w:lang w:val="nl-NL"/>
        </w:rPr>
        <w:t xml:space="preserve"> </w:t>
      </w:r>
      <w:r w:rsidR="006A798C" w:rsidRPr="00E2420C">
        <w:rPr>
          <w:rFonts w:ascii="Arial" w:hAnsi="Arial" w:cs="Arial"/>
          <w:sz w:val="22"/>
          <w:szCs w:val="22"/>
          <w:lang w:val="nl-NL"/>
        </w:rPr>
        <w:t>mitigate commercial risks related to their renewable energy businesses.</w:t>
      </w:r>
      <w:r w:rsidR="0014162C">
        <w:rPr>
          <w:rFonts w:ascii="Arial" w:hAnsi="Arial" w:cs="Arial"/>
          <w:sz w:val="22"/>
          <w:szCs w:val="22"/>
          <w:lang w:val="nl-NL"/>
        </w:rPr>
        <w:t xml:space="preserve"> </w:t>
      </w:r>
      <w:r w:rsidR="00956EA7">
        <w:rPr>
          <w:rFonts w:ascii="Arial" w:hAnsi="Arial" w:cs="Arial"/>
          <w:sz w:val="22"/>
          <w:szCs w:val="22"/>
          <w:lang w:val="nl-NL"/>
        </w:rPr>
        <w:t>Given what the clearing thresholds seek to achieve, a</w:t>
      </w:r>
      <w:r w:rsidR="00EC69D4" w:rsidRPr="00E2420C">
        <w:rPr>
          <w:rFonts w:ascii="Arial" w:hAnsi="Arial" w:cs="Arial"/>
          <w:sz w:val="22"/>
          <w:szCs w:val="22"/>
          <w:lang w:val="nl-NL"/>
        </w:rPr>
        <w:t>n</w:t>
      </w:r>
      <w:r w:rsidR="006A798C" w:rsidRPr="00E2420C">
        <w:rPr>
          <w:rFonts w:ascii="Arial" w:hAnsi="Arial" w:cs="Arial"/>
          <w:sz w:val="22"/>
          <w:szCs w:val="22"/>
          <w:lang w:val="nl-NL"/>
        </w:rPr>
        <w:t xml:space="preserve"> aggregated commodity threshold aligns better with this </w:t>
      </w:r>
      <w:r w:rsidR="006A798C" w:rsidRPr="00E2420C">
        <w:rPr>
          <w:rFonts w:ascii="Arial" w:hAnsi="Arial" w:cs="Arial"/>
          <w:sz w:val="22"/>
          <w:szCs w:val="22"/>
          <w:lang w:val="nl-NL"/>
        </w:rPr>
        <w:lastRenderedPageBreak/>
        <w:t>practice</w:t>
      </w:r>
      <w:r w:rsidR="00956EA7">
        <w:rPr>
          <w:rFonts w:ascii="Arial" w:hAnsi="Arial" w:cs="Arial"/>
          <w:sz w:val="22"/>
          <w:szCs w:val="22"/>
          <w:lang w:val="nl-NL"/>
        </w:rPr>
        <w:t>. S</w:t>
      </w:r>
      <w:r w:rsidR="006A798C" w:rsidRPr="00E2420C">
        <w:rPr>
          <w:rFonts w:ascii="Arial" w:hAnsi="Arial" w:cs="Arial"/>
          <w:sz w:val="22"/>
          <w:szCs w:val="22"/>
          <w:lang w:val="nl-NL"/>
        </w:rPr>
        <w:t>etting separate commodity clearing thresholds would be artificial</w:t>
      </w:r>
      <w:r w:rsidR="00BD0B98">
        <w:rPr>
          <w:rFonts w:ascii="Arial" w:hAnsi="Arial" w:cs="Arial"/>
          <w:sz w:val="22"/>
          <w:szCs w:val="22"/>
          <w:lang w:val="nl-NL"/>
        </w:rPr>
        <w:t xml:space="preserve"> and increase the complexity of compliance </w:t>
      </w:r>
      <w:r w:rsidR="0073263E">
        <w:rPr>
          <w:rFonts w:ascii="Arial" w:hAnsi="Arial" w:cs="Arial"/>
          <w:sz w:val="22"/>
          <w:szCs w:val="22"/>
          <w:lang w:val="nl-NL"/>
        </w:rPr>
        <w:t>for</w:t>
      </w:r>
      <w:r w:rsidR="00BD0B98">
        <w:rPr>
          <w:rFonts w:ascii="Arial" w:hAnsi="Arial" w:cs="Arial"/>
          <w:sz w:val="22"/>
          <w:szCs w:val="22"/>
          <w:lang w:val="nl-NL"/>
        </w:rPr>
        <w:t xml:space="preserve"> market participants</w:t>
      </w:r>
      <w:r w:rsidR="0073263E">
        <w:rPr>
          <w:rFonts w:ascii="Arial" w:hAnsi="Arial" w:cs="Arial"/>
          <w:sz w:val="22"/>
          <w:szCs w:val="22"/>
          <w:lang w:val="nl-NL"/>
        </w:rPr>
        <w:t xml:space="preserve"> (see (3) below for more on the feasibility for market participants)</w:t>
      </w:r>
      <w:r w:rsidR="006A798C" w:rsidRPr="00E2420C">
        <w:rPr>
          <w:rFonts w:ascii="Arial" w:hAnsi="Arial" w:cs="Arial"/>
          <w:sz w:val="22"/>
          <w:szCs w:val="22"/>
          <w:lang w:val="nl-NL"/>
        </w:rPr>
        <w:t>.</w:t>
      </w:r>
      <w:r w:rsidR="0014162C" w:rsidRPr="0014162C">
        <w:rPr>
          <w:vertAlign w:val="superscript"/>
          <w:lang w:val="nl-NL"/>
        </w:rPr>
        <w:t xml:space="preserve"> </w:t>
      </w:r>
      <w:r w:rsidR="0014162C" w:rsidRPr="006A798C">
        <w:rPr>
          <w:vertAlign w:val="superscript"/>
          <w:lang w:val="nl-NL"/>
        </w:rPr>
        <w:footnoteReference w:id="15"/>
      </w:r>
    </w:p>
    <w:p w14:paraId="1BCA60C9" w14:textId="77777777" w:rsidR="00E2420C" w:rsidRPr="00E2420C" w:rsidRDefault="00E2420C" w:rsidP="00E2420C">
      <w:pPr>
        <w:pStyle w:val="ListParagraph"/>
        <w:spacing w:after="0"/>
        <w:ind w:left="644"/>
        <w:jc w:val="both"/>
        <w:rPr>
          <w:rFonts w:ascii="Arial" w:hAnsi="Arial" w:cs="Arial"/>
          <w:sz w:val="22"/>
          <w:szCs w:val="22"/>
          <w:lang w:val="en-US"/>
        </w:rPr>
      </w:pPr>
    </w:p>
    <w:p w14:paraId="20DA62E2" w14:textId="77777777" w:rsidR="0029253B" w:rsidRDefault="00071BA0" w:rsidP="005E1679">
      <w:pPr>
        <w:pStyle w:val="ListParagraph"/>
        <w:numPr>
          <w:ilvl w:val="0"/>
          <w:numId w:val="18"/>
        </w:numPr>
        <w:spacing w:after="0"/>
        <w:jc w:val="both"/>
        <w:rPr>
          <w:rFonts w:ascii="Arial" w:hAnsi="Arial" w:cs="Arial"/>
          <w:sz w:val="22"/>
          <w:szCs w:val="22"/>
          <w:lang w:val="en-US"/>
        </w:rPr>
      </w:pPr>
      <w:r w:rsidRPr="00CF2DD2">
        <w:rPr>
          <w:rFonts w:ascii="Arial" w:hAnsi="Arial" w:cs="Arial"/>
          <w:b/>
          <w:bCs/>
          <w:sz w:val="22"/>
          <w:szCs w:val="22"/>
          <w:lang w:val="en-US"/>
        </w:rPr>
        <w:t xml:space="preserve">Identifying applicable sub-asset classes. </w:t>
      </w:r>
      <w:r w:rsidR="0099049F" w:rsidRPr="00CF2DD2">
        <w:rPr>
          <w:rFonts w:ascii="Arial" w:hAnsi="Arial" w:cs="Arial"/>
          <w:sz w:val="22"/>
          <w:szCs w:val="22"/>
          <w:lang w:val="en-US"/>
        </w:rPr>
        <w:t xml:space="preserve"> </w:t>
      </w:r>
    </w:p>
    <w:p w14:paraId="08985C1D" w14:textId="77777777" w:rsidR="0029253B" w:rsidRDefault="0029253B" w:rsidP="0029253B">
      <w:pPr>
        <w:pStyle w:val="ListParagraph"/>
        <w:spacing w:after="0"/>
        <w:ind w:left="644"/>
        <w:jc w:val="both"/>
        <w:rPr>
          <w:rFonts w:ascii="Arial" w:hAnsi="Arial" w:cs="Arial"/>
          <w:sz w:val="22"/>
          <w:szCs w:val="22"/>
          <w:lang w:val="en-US"/>
        </w:rPr>
      </w:pPr>
    </w:p>
    <w:p w14:paraId="3B1795F8" w14:textId="25FBEEC8" w:rsidR="00E2420C" w:rsidRDefault="0099049F" w:rsidP="0029253B">
      <w:pPr>
        <w:pStyle w:val="ListParagraph"/>
        <w:spacing w:after="0"/>
        <w:ind w:left="644"/>
        <w:jc w:val="both"/>
        <w:rPr>
          <w:rFonts w:ascii="Arial" w:hAnsi="Arial" w:cs="Arial"/>
          <w:sz w:val="22"/>
          <w:szCs w:val="22"/>
          <w:lang w:val="en-US"/>
        </w:rPr>
      </w:pPr>
      <w:r w:rsidRPr="00CF2DD2">
        <w:rPr>
          <w:rFonts w:ascii="Arial" w:hAnsi="Arial" w:cs="Arial"/>
          <w:sz w:val="22"/>
          <w:szCs w:val="22"/>
          <w:lang w:val="en-US"/>
        </w:rPr>
        <w:t xml:space="preserve">A commodity derivative transaction may fall under </w:t>
      </w:r>
      <w:r w:rsidR="0026581C" w:rsidRPr="00CF2DD2">
        <w:rPr>
          <w:rFonts w:ascii="Arial" w:hAnsi="Arial" w:cs="Arial"/>
          <w:sz w:val="22"/>
          <w:szCs w:val="22"/>
          <w:lang w:val="en-US"/>
        </w:rPr>
        <w:t>multiple</w:t>
      </w:r>
      <w:r w:rsidR="00071BA0" w:rsidRPr="00CF2DD2">
        <w:rPr>
          <w:rFonts w:ascii="Arial" w:hAnsi="Arial" w:cs="Arial"/>
          <w:sz w:val="22"/>
          <w:szCs w:val="22"/>
          <w:lang w:val="en-US"/>
        </w:rPr>
        <w:t xml:space="preserve"> sub-asset class</w:t>
      </w:r>
      <w:r w:rsidR="00770614">
        <w:rPr>
          <w:rFonts w:ascii="Arial" w:hAnsi="Arial" w:cs="Arial"/>
          <w:sz w:val="22"/>
          <w:szCs w:val="22"/>
          <w:lang w:val="en-US"/>
        </w:rPr>
        <w:t>es</w:t>
      </w:r>
      <w:r w:rsidR="00071BA0" w:rsidRPr="00CF2DD2">
        <w:rPr>
          <w:rFonts w:ascii="Arial" w:hAnsi="Arial" w:cs="Arial"/>
          <w:sz w:val="22"/>
          <w:szCs w:val="22"/>
          <w:lang w:val="en-US"/>
        </w:rPr>
        <w:t>. For example, biodiesel from an agricultural source could potentially fall under multiple sub-asset classes. It is unclear how market participants would be expected to deci</w:t>
      </w:r>
      <w:r w:rsidR="0026581C" w:rsidRPr="00CF2DD2">
        <w:rPr>
          <w:rFonts w:ascii="Arial" w:hAnsi="Arial" w:cs="Arial"/>
          <w:sz w:val="22"/>
          <w:szCs w:val="22"/>
          <w:lang w:val="en-US"/>
        </w:rPr>
        <w:t xml:space="preserve">de the relevant sub-asset class for a particular transaction </w:t>
      </w:r>
      <w:r w:rsidR="00071BA0" w:rsidRPr="00CF2DD2">
        <w:rPr>
          <w:rFonts w:ascii="Arial" w:hAnsi="Arial" w:cs="Arial"/>
          <w:sz w:val="22"/>
          <w:szCs w:val="22"/>
          <w:lang w:val="en-US"/>
        </w:rPr>
        <w:t xml:space="preserve">or whether </w:t>
      </w:r>
      <w:r w:rsidR="0026581C" w:rsidRPr="00CF2DD2">
        <w:rPr>
          <w:rFonts w:ascii="Arial" w:hAnsi="Arial" w:cs="Arial"/>
          <w:sz w:val="22"/>
          <w:szCs w:val="22"/>
          <w:lang w:val="en-US"/>
        </w:rPr>
        <w:t xml:space="preserve">one </w:t>
      </w:r>
      <w:r w:rsidR="00071BA0" w:rsidRPr="00CF2DD2">
        <w:rPr>
          <w:rFonts w:ascii="Arial" w:hAnsi="Arial" w:cs="Arial"/>
          <w:sz w:val="22"/>
          <w:szCs w:val="22"/>
          <w:lang w:val="en-US"/>
        </w:rPr>
        <w:t>transaction would form part of calculations for multiple sub-asset classes.</w:t>
      </w:r>
      <w:r w:rsidR="00956EA7">
        <w:rPr>
          <w:rFonts w:ascii="Arial" w:hAnsi="Arial" w:cs="Arial"/>
          <w:sz w:val="22"/>
          <w:szCs w:val="22"/>
          <w:lang w:val="en-US"/>
        </w:rPr>
        <w:t xml:space="preserve"> This would then increase the operational burden (see further </w:t>
      </w:r>
      <w:r w:rsidR="00014443">
        <w:rPr>
          <w:rFonts w:ascii="Arial" w:hAnsi="Arial" w:cs="Arial"/>
          <w:sz w:val="22"/>
          <w:szCs w:val="22"/>
          <w:lang w:val="en-US"/>
        </w:rPr>
        <w:t>(</w:t>
      </w:r>
      <w:r w:rsidR="00956EA7">
        <w:rPr>
          <w:rFonts w:ascii="Arial" w:hAnsi="Arial" w:cs="Arial"/>
          <w:sz w:val="22"/>
          <w:szCs w:val="22"/>
          <w:lang w:val="en-US"/>
        </w:rPr>
        <w:t>3</w:t>
      </w:r>
      <w:r w:rsidR="00014443">
        <w:rPr>
          <w:rFonts w:ascii="Arial" w:hAnsi="Arial" w:cs="Arial"/>
          <w:sz w:val="22"/>
          <w:szCs w:val="22"/>
          <w:lang w:val="en-US"/>
        </w:rPr>
        <w:t>)</w:t>
      </w:r>
      <w:r w:rsidR="00956EA7">
        <w:rPr>
          <w:rFonts w:ascii="Arial" w:hAnsi="Arial" w:cs="Arial"/>
          <w:sz w:val="22"/>
          <w:szCs w:val="22"/>
          <w:lang w:val="en-US"/>
        </w:rPr>
        <w:t xml:space="preserve"> below) and inevitably require detailed guidance. </w:t>
      </w:r>
    </w:p>
    <w:p w14:paraId="2906A522" w14:textId="77777777" w:rsidR="00CF2DD2" w:rsidRPr="00CF2DD2" w:rsidRDefault="00CF2DD2" w:rsidP="00CF2DD2">
      <w:pPr>
        <w:pStyle w:val="ListParagraph"/>
        <w:spacing w:after="0"/>
        <w:ind w:left="644"/>
        <w:jc w:val="both"/>
        <w:rPr>
          <w:rFonts w:ascii="Arial" w:hAnsi="Arial" w:cs="Arial"/>
          <w:sz w:val="22"/>
          <w:szCs w:val="22"/>
          <w:lang w:val="en-US"/>
        </w:rPr>
      </w:pPr>
    </w:p>
    <w:p w14:paraId="47DF932B" w14:textId="77777777" w:rsidR="0029253B" w:rsidRDefault="006A798C" w:rsidP="00E2420C">
      <w:pPr>
        <w:pStyle w:val="ListParagraph"/>
        <w:numPr>
          <w:ilvl w:val="0"/>
          <w:numId w:val="18"/>
        </w:numPr>
        <w:spacing w:after="0"/>
        <w:jc w:val="both"/>
        <w:rPr>
          <w:rFonts w:ascii="Arial" w:hAnsi="Arial" w:cs="Arial"/>
          <w:sz w:val="22"/>
          <w:szCs w:val="22"/>
          <w:lang w:val="en-US"/>
        </w:rPr>
      </w:pPr>
      <w:r w:rsidRPr="00E2420C">
        <w:rPr>
          <w:rFonts w:ascii="Arial" w:hAnsi="Arial" w:cs="Arial"/>
          <w:b/>
          <w:bCs/>
          <w:sz w:val="22"/>
          <w:szCs w:val="22"/>
          <w:lang w:val="en-US"/>
        </w:rPr>
        <w:t>Feasibility for market participants:</w:t>
      </w:r>
      <w:r w:rsidRPr="00E2420C">
        <w:rPr>
          <w:rFonts w:ascii="Arial" w:hAnsi="Arial" w:cs="Arial"/>
          <w:sz w:val="22"/>
          <w:szCs w:val="22"/>
          <w:lang w:val="en-US"/>
        </w:rPr>
        <w:t xml:space="preserve"> </w:t>
      </w:r>
    </w:p>
    <w:p w14:paraId="79290C7A" w14:textId="77777777" w:rsidR="0029253B" w:rsidRDefault="0029253B" w:rsidP="0029253B">
      <w:pPr>
        <w:pStyle w:val="ListParagraph"/>
        <w:spacing w:after="0"/>
        <w:ind w:left="644"/>
        <w:jc w:val="both"/>
        <w:rPr>
          <w:rFonts w:ascii="Arial" w:hAnsi="Arial" w:cs="Arial"/>
          <w:sz w:val="22"/>
          <w:szCs w:val="22"/>
          <w:lang w:val="en-US"/>
        </w:rPr>
      </w:pPr>
    </w:p>
    <w:p w14:paraId="36591173" w14:textId="36D0952A" w:rsidR="00E2420C" w:rsidRDefault="0029253B" w:rsidP="0029253B">
      <w:pPr>
        <w:pStyle w:val="ListParagraph"/>
        <w:spacing w:after="0"/>
        <w:ind w:left="644"/>
        <w:jc w:val="both"/>
        <w:rPr>
          <w:rFonts w:ascii="Arial" w:hAnsi="Arial" w:cs="Arial"/>
          <w:sz w:val="22"/>
          <w:szCs w:val="22"/>
          <w:lang w:val="en-US"/>
        </w:rPr>
      </w:pPr>
      <w:r>
        <w:rPr>
          <w:rFonts w:ascii="Arial" w:hAnsi="Arial" w:cs="Arial"/>
          <w:sz w:val="22"/>
          <w:szCs w:val="22"/>
          <w:lang w:val="en-US"/>
        </w:rPr>
        <w:t>I</w:t>
      </w:r>
      <w:r w:rsidR="007B3D5B" w:rsidRPr="00E2420C">
        <w:rPr>
          <w:rFonts w:ascii="Arial" w:hAnsi="Arial" w:cs="Arial"/>
          <w:sz w:val="22"/>
          <w:szCs w:val="22"/>
          <w:lang w:val="en-US"/>
        </w:rPr>
        <w:t>t would be overly burdensome</w:t>
      </w:r>
      <w:r w:rsidR="003B1758" w:rsidRPr="00E2420C">
        <w:rPr>
          <w:rFonts w:ascii="Arial" w:hAnsi="Arial" w:cs="Arial"/>
          <w:sz w:val="22"/>
          <w:szCs w:val="22"/>
          <w:lang w:val="en-US"/>
        </w:rPr>
        <w:t xml:space="preserve"> and inefficient</w:t>
      </w:r>
      <w:r w:rsidR="007B3D5B" w:rsidRPr="00E2420C">
        <w:rPr>
          <w:rFonts w:ascii="Arial" w:hAnsi="Arial" w:cs="Arial"/>
          <w:sz w:val="22"/>
          <w:szCs w:val="22"/>
          <w:lang w:val="en-US"/>
        </w:rPr>
        <w:t xml:space="preserve">, from an operational perspective, for market participants to comply with the obligation to calculate </w:t>
      </w:r>
      <w:r w:rsidR="00736420">
        <w:rPr>
          <w:rFonts w:ascii="Arial" w:hAnsi="Arial" w:cs="Arial"/>
          <w:sz w:val="22"/>
          <w:szCs w:val="22"/>
          <w:lang w:val="en-US"/>
        </w:rPr>
        <w:t xml:space="preserve">against </w:t>
      </w:r>
      <w:r w:rsidR="007B3D5B" w:rsidRPr="00E2420C">
        <w:rPr>
          <w:rFonts w:ascii="Arial" w:hAnsi="Arial" w:cs="Arial"/>
          <w:sz w:val="22"/>
          <w:szCs w:val="22"/>
          <w:lang w:val="en-US"/>
        </w:rPr>
        <w:t xml:space="preserve">separate </w:t>
      </w:r>
      <w:r w:rsidR="00736420">
        <w:rPr>
          <w:rFonts w:ascii="Arial" w:hAnsi="Arial" w:cs="Arial"/>
          <w:sz w:val="22"/>
          <w:szCs w:val="22"/>
          <w:lang w:val="en-US"/>
        </w:rPr>
        <w:t>uncleared commodity</w:t>
      </w:r>
      <w:r w:rsidR="007B3D5B" w:rsidRPr="00E2420C">
        <w:rPr>
          <w:rFonts w:ascii="Arial" w:hAnsi="Arial" w:cs="Arial"/>
          <w:sz w:val="22"/>
          <w:szCs w:val="22"/>
          <w:lang w:val="en-US"/>
        </w:rPr>
        <w:t xml:space="preserve"> thresholds. There are also no </w:t>
      </w:r>
      <w:r w:rsidR="006A798C" w:rsidRPr="00E2420C">
        <w:rPr>
          <w:rFonts w:ascii="Arial" w:hAnsi="Arial" w:cs="Arial"/>
          <w:sz w:val="22"/>
          <w:szCs w:val="22"/>
          <w:lang w:val="en-US"/>
        </w:rPr>
        <w:t xml:space="preserve">obvious </w:t>
      </w:r>
      <w:r w:rsidR="002E2690" w:rsidRPr="00E2420C">
        <w:rPr>
          <w:rFonts w:ascii="Arial" w:hAnsi="Arial" w:cs="Arial"/>
          <w:sz w:val="22"/>
          <w:szCs w:val="22"/>
          <w:lang w:val="en-US"/>
        </w:rPr>
        <w:t>benefits</w:t>
      </w:r>
      <w:r w:rsidR="007B3D5B" w:rsidRPr="00E2420C">
        <w:rPr>
          <w:rFonts w:ascii="Arial" w:hAnsi="Arial" w:cs="Arial"/>
          <w:sz w:val="22"/>
          <w:szCs w:val="22"/>
          <w:lang w:val="en-US"/>
        </w:rPr>
        <w:t xml:space="preserve"> </w:t>
      </w:r>
      <w:r w:rsidR="00CF2DD2">
        <w:rPr>
          <w:rFonts w:ascii="Arial" w:hAnsi="Arial" w:cs="Arial"/>
          <w:sz w:val="22"/>
          <w:szCs w:val="22"/>
          <w:lang w:val="en-US"/>
        </w:rPr>
        <w:t xml:space="preserve">for </w:t>
      </w:r>
      <w:r w:rsidR="007B3D5B" w:rsidRPr="00E2420C">
        <w:rPr>
          <w:rFonts w:ascii="Arial" w:hAnsi="Arial" w:cs="Arial"/>
          <w:sz w:val="22"/>
          <w:szCs w:val="22"/>
          <w:lang w:val="en-US"/>
        </w:rPr>
        <w:t xml:space="preserve">market participants to </w:t>
      </w:r>
      <w:r w:rsidR="00620849" w:rsidRPr="00E2420C">
        <w:rPr>
          <w:rFonts w:ascii="Arial" w:hAnsi="Arial" w:cs="Arial"/>
          <w:sz w:val="22"/>
          <w:szCs w:val="22"/>
          <w:lang w:val="en-US"/>
        </w:rPr>
        <w:t xml:space="preserve">compute </w:t>
      </w:r>
      <w:r w:rsidR="007B3D5B" w:rsidRPr="00E2420C">
        <w:rPr>
          <w:rFonts w:ascii="Arial" w:hAnsi="Arial" w:cs="Arial"/>
          <w:sz w:val="22"/>
          <w:szCs w:val="22"/>
          <w:lang w:val="en-US"/>
        </w:rPr>
        <w:t>calculations</w:t>
      </w:r>
      <w:r w:rsidR="007B0A49" w:rsidRPr="00E2420C">
        <w:rPr>
          <w:rFonts w:ascii="Arial" w:hAnsi="Arial" w:cs="Arial"/>
          <w:sz w:val="22"/>
          <w:szCs w:val="22"/>
          <w:lang w:val="en-US"/>
        </w:rPr>
        <w:t xml:space="preserve"> for multiple </w:t>
      </w:r>
      <w:r w:rsidR="007B3D5B" w:rsidRPr="00E2420C">
        <w:rPr>
          <w:rFonts w:ascii="Arial" w:hAnsi="Arial" w:cs="Arial"/>
          <w:sz w:val="22"/>
          <w:szCs w:val="22"/>
          <w:lang w:val="en-US"/>
        </w:rPr>
        <w:t>sub-asset classes</w:t>
      </w:r>
      <w:r w:rsidR="006A798C" w:rsidRPr="00E2420C">
        <w:rPr>
          <w:rFonts w:ascii="Arial" w:hAnsi="Arial" w:cs="Arial"/>
          <w:sz w:val="22"/>
          <w:szCs w:val="22"/>
          <w:lang w:val="en-US"/>
        </w:rPr>
        <w:t>.</w:t>
      </w:r>
    </w:p>
    <w:p w14:paraId="051F21F1" w14:textId="77777777" w:rsidR="00E2420C" w:rsidRPr="00E2420C" w:rsidRDefault="00E2420C" w:rsidP="00E2420C">
      <w:pPr>
        <w:pStyle w:val="ListParagraph"/>
        <w:spacing w:after="0"/>
        <w:ind w:left="644"/>
        <w:jc w:val="both"/>
        <w:rPr>
          <w:rFonts w:ascii="Arial" w:hAnsi="Arial" w:cs="Arial"/>
          <w:sz w:val="22"/>
          <w:szCs w:val="22"/>
          <w:lang w:val="en-US"/>
        </w:rPr>
      </w:pPr>
    </w:p>
    <w:p w14:paraId="03ABBC96" w14:textId="77777777" w:rsidR="0029253B" w:rsidRDefault="006A798C" w:rsidP="00E2420C">
      <w:pPr>
        <w:pStyle w:val="ListParagraph"/>
        <w:numPr>
          <w:ilvl w:val="0"/>
          <w:numId w:val="18"/>
        </w:numPr>
        <w:spacing w:after="0"/>
        <w:jc w:val="both"/>
        <w:rPr>
          <w:rFonts w:ascii="Arial" w:hAnsi="Arial" w:cs="Arial"/>
          <w:sz w:val="22"/>
          <w:szCs w:val="22"/>
          <w:lang w:val="en-US"/>
        </w:rPr>
      </w:pPr>
      <w:r w:rsidRPr="00E2420C">
        <w:rPr>
          <w:rFonts w:ascii="Arial" w:hAnsi="Arial" w:cs="Arial"/>
          <w:b/>
          <w:bCs/>
          <w:sz w:val="22"/>
          <w:szCs w:val="22"/>
          <w:lang w:val="en-US"/>
        </w:rPr>
        <w:t xml:space="preserve">Practicability of supervision </w:t>
      </w:r>
      <w:r w:rsidR="005E08D4" w:rsidRPr="00E2420C">
        <w:rPr>
          <w:rFonts w:ascii="Arial" w:hAnsi="Arial" w:cs="Arial"/>
          <w:b/>
          <w:bCs/>
          <w:sz w:val="22"/>
          <w:szCs w:val="22"/>
          <w:lang w:val="en-US"/>
        </w:rPr>
        <w:t xml:space="preserve">by </w:t>
      </w:r>
      <w:r w:rsidRPr="00E2420C">
        <w:rPr>
          <w:rFonts w:ascii="Arial" w:hAnsi="Arial" w:cs="Arial"/>
          <w:b/>
          <w:bCs/>
          <w:sz w:val="22"/>
          <w:szCs w:val="22"/>
          <w:lang w:val="en-US"/>
        </w:rPr>
        <w:t>National Competent Authorities (</w:t>
      </w:r>
      <w:r w:rsidR="00242948" w:rsidRPr="00E2420C">
        <w:rPr>
          <w:rFonts w:ascii="Arial" w:hAnsi="Arial" w:cs="Arial"/>
          <w:b/>
          <w:bCs/>
          <w:sz w:val="22"/>
          <w:szCs w:val="22"/>
          <w:lang w:val="en-US"/>
        </w:rPr>
        <w:t>"</w:t>
      </w:r>
      <w:r w:rsidRPr="00E2420C">
        <w:rPr>
          <w:rFonts w:ascii="Arial" w:hAnsi="Arial" w:cs="Arial"/>
          <w:b/>
          <w:bCs/>
          <w:sz w:val="22"/>
          <w:szCs w:val="22"/>
          <w:lang w:val="en-US"/>
        </w:rPr>
        <w:t>NCAs</w:t>
      </w:r>
      <w:r w:rsidR="00242948" w:rsidRPr="00E2420C">
        <w:rPr>
          <w:rFonts w:ascii="Arial" w:hAnsi="Arial" w:cs="Arial"/>
          <w:b/>
          <w:bCs/>
          <w:sz w:val="22"/>
          <w:szCs w:val="22"/>
          <w:lang w:val="en-US"/>
        </w:rPr>
        <w:t>"</w:t>
      </w:r>
      <w:r w:rsidRPr="00E2420C">
        <w:rPr>
          <w:rFonts w:ascii="Arial" w:hAnsi="Arial" w:cs="Arial"/>
          <w:b/>
          <w:bCs/>
          <w:sz w:val="22"/>
          <w:szCs w:val="22"/>
          <w:lang w:val="en-US"/>
        </w:rPr>
        <w:t>)</w:t>
      </w:r>
      <w:r w:rsidRPr="00E2420C">
        <w:rPr>
          <w:rFonts w:ascii="Arial" w:hAnsi="Arial" w:cs="Arial"/>
          <w:sz w:val="22"/>
          <w:szCs w:val="22"/>
          <w:lang w:val="en-US"/>
        </w:rPr>
        <w:t xml:space="preserve">: </w:t>
      </w:r>
    </w:p>
    <w:p w14:paraId="1E587BA2" w14:textId="77777777" w:rsidR="0029253B" w:rsidRDefault="0029253B" w:rsidP="0029253B">
      <w:pPr>
        <w:pStyle w:val="ListParagraph"/>
        <w:spacing w:after="0"/>
        <w:ind w:left="644"/>
        <w:jc w:val="both"/>
        <w:rPr>
          <w:rFonts w:ascii="Arial" w:hAnsi="Arial" w:cs="Arial"/>
          <w:b/>
          <w:bCs/>
          <w:sz w:val="22"/>
          <w:szCs w:val="22"/>
          <w:lang w:val="en-US"/>
        </w:rPr>
      </w:pPr>
    </w:p>
    <w:p w14:paraId="02C6894E" w14:textId="665ED2F3" w:rsidR="00811A51" w:rsidRPr="00E2420C" w:rsidRDefault="0029253B" w:rsidP="0029253B">
      <w:pPr>
        <w:pStyle w:val="ListParagraph"/>
        <w:spacing w:after="0"/>
        <w:ind w:left="644"/>
        <w:jc w:val="both"/>
        <w:rPr>
          <w:rFonts w:ascii="Arial" w:hAnsi="Arial" w:cs="Arial"/>
          <w:sz w:val="22"/>
          <w:szCs w:val="22"/>
          <w:lang w:val="en-US"/>
        </w:rPr>
      </w:pPr>
      <w:r>
        <w:rPr>
          <w:rFonts w:ascii="Arial" w:hAnsi="Arial" w:cs="Arial"/>
          <w:sz w:val="22"/>
          <w:szCs w:val="22"/>
          <w:lang w:val="en-US"/>
        </w:rPr>
        <w:t>I</w:t>
      </w:r>
      <w:r w:rsidR="006A798C" w:rsidRPr="00E2420C">
        <w:rPr>
          <w:rFonts w:ascii="Arial" w:hAnsi="Arial" w:cs="Arial"/>
          <w:sz w:val="22"/>
          <w:szCs w:val="22"/>
          <w:lang w:val="en-US"/>
        </w:rPr>
        <w:t xml:space="preserve">t is </w:t>
      </w:r>
      <w:r w:rsidR="00242948" w:rsidRPr="00E2420C">
        <w:rPr>
          <w:rFonts w:ascii="Arial" w:hAnsi="Arial" w:cs="Arial"/>
          <w:sz w:val="22"/>
          <w:szCs w:val="22"/>
          <w:lang w:val="en-US"/>
        </w:rPr>
        <w:t>unclear</w:t>
      </w:r>
      <w:r w:rsidR="006A798C" w:rsidRPr="00E2420C">
        <w:rPr>
          <w:rFonts w:ascii="Arial" w:hAnsi="Arial" w:cs="Arial"/>
          <w:sz w:val="22"/>
          <w:szCs w:val="22"/>
          <w:lang w:val="en-US"/>
        </w:rPr>
        <w:t xml:space="preserve"> how NCAs would effectively monitor compliance with different </w:t>
      </w:r>
      <w:r w:rsidR="00B0067E">
        <w:rPr>
          <w:rFonts w:ascii="Arial" w:hAnsi="Arial" w:cs="Arial"/>
          <w:sz w:val="22"/>
          <w:szCs w:val="22"/>
          <w:lang w:val="en-US"/>
        </w:rPr>
        <w:t xml:space="preserve">uncleared </w:t>
      </w:r>
      <w:r w:rsidR="006A798C" w:rsidRPr="00E2420C">
        <w:rPr>
          <w:rFonts w:ascii="Arial" w:hAnsi="Arial" w:cs="Arial"/>
          <w:sz w:val="22"/>
          <w:szCs w:val="22"/>
          <w:lang w:val="en-US"/>
        </w:rPr>
        <w:t>commodity thresholds</w:t>
      </w:r>
      <w:r w:rsidR="00BD6FBE" w:rsidRPr="00E2420C">
        <w:rPr>
          <w:rFonts w:ascii="Arial" w:hAnsi="Arial" w:cs="Arial"/>
          <w:sz w:val="22"/>
          <w:szCs w:val="22"/>
          <w:lang w:val="en-US"/>
        </w:rPr>
        <w:t xml:space="preserve">. </w:t>
      </w:r>
    </w:p>
    <w:p w14:paraId="3EE5F0E0" w14:textId="77777777" w:rsidR="00EF7CD6" w:rsidRPr="00EF7CD6" w:rsidRDefault="00EF7CD6" w:rsidP="00EF7CD6">
      <w:pPr>
        <w:spacing w:after="0"/>
        <w:ind w:left="720"/>
        <w:jc w:val="both"/>
        <w:rPr>
          <w:rFonts w:ascii="Arial" w:hAnsi="Arial" w:cs="Arial"/>
          <w:sz w:val="22"/>
          <w:szCs w:val="22"/>
          <w:lang w:val="en-US"/>
        </w:rPr>
      </w:pPr>
    </w:p>
    <w:p w14:paraId="0B9E0BBD" w14:textId="316B301A" w:rsidR="00BA137F" w:rsidRPr="00D67CE4" w:rsidRDefault="00BA137F" w:rsidP="00E92500">
      <w:pPr>
        <w:jc w:val="both"/>
        <w:rPr>
          <w:rFonts w:ascii="Arial" w:hAnsi="Arial" w:cs="Arial"/>
          <w:b/>
          <w:bCs/>
          <w:sz w:val="22"/>
          <w:szCs w:val="22"/>
        </w:rPr>
      </w:pPr>
      <w:r w:rsidRPr="00D67CE4">
        <w:rPr>
          <w:rFonts w:ascii="Arial" w:hAnsi="Arial" w:cs="Arial"/>
          <w:b/>
          <w:bCs/>
          <w:sz w:val="22"/>
          <w:szCs w:val="22"/>
        </w:rPr>
        <w:t xml:space="preserve">Question 5:  </w:t>
      </w:r>
      <w:r w:rsidR="00E92500" w:rsidRPr="00E92500">
        <w:rPr>
          <w:rFonts w:ascii="Arial" w:hAnsi="Arial" w:cs="Arial"/>
          <w:b/>
          <w:bCs/>
          <w:sz w:val="22"/>
          <w:szCs w:val="22"/>
        </w:rPr>
        <w:t>Do you agree with ESMA’s proposal to have in the fifth bucket only commodity and</w:t>
      </w:r>
      <w:r w:rsidR="00E92500">
        <w:rPr>
          <w:rFonts w:ascii="Arial" w:hAnsi="Arial" w:cs="Arial"/>
          <w:b/>
          <w:bCs/>
          <w:sz w:val="22"/>
          <w:szCs w:val="22"/>
        </w:rPr>
        <w:t xml:space="preserve"> </w:t>
      </w:r>
      <w:r w:rsidR="00E92500" w:rsidRPr="00E92500">
        <w:rPr>
          <w:rFonts w:ascii="Arial" w:hAnsi="Arial" w:cs="Arial"/>
          <w:b/>
          <w:bCs/>
          <w:sz w:val="22"/>
          <w:szCs w:val="22"/>
        </w:rPr>
        <w:t>emission allowance derivatives? Or do you consider that commodity derivatives should</w:t>
      </w:r>
      <w:r w:rsidR="00E92500">
        <w:rPr>
          <w:rFonts w:ascii="Arial" w:hAnsi="Arial" w:cs="Arial"/>
          <w:b/>
          <w:bCs/>
          <w:sz w:val="22"/>
          <w:szCs w:val="22"/>
        </w:rPr>
        <w:t xml:space="preserve"> </w:t>
      </w:r>
      <w:r w:rsidR="00E92500" w:rsidRPr="00E92500">
        <w:rPr>
          <w:rFonts w:ascii="Arial" w:hAnsi="Arial" w:cs="Arial"/>
          <w:b/>
          <w:bCs/>
          <w:sz w:val="22"/>
          <w:szCs w:val="22"/>
        </w:rPr>
        <w:t>be singled out as a stand-alone category and another category for emission allowance</w:t>
      </w:r>
      <w:r w:rsidR="00E92500">
        <w:rPr>
          <w:rFonts w:ascii="Arial" w:hAnsi="Arial" w:cs="Arial"/>
          <w:b/>
          <w:bCs/>
          <w:sz w:val="22"/>
          <w:szCs w:val="22"/>
        </w:rPr>
        <w:t xml:space="preserve"> </w:t>
      </w:r>
      <w:r w:rsidR="00E92500" w:rsidRPr="00E92500">
        <w:rPr>
          <w:rFonts w:ascii="Arial" w:hAnsi="Arial" w:cs="Arial"/>
          <w:b/>
          <w:bCs/>
          <w:sz w:val="22"/>
          <w:szCs w:val="22"/>
        </w:rPr>
        <w:t>derivatives introduced? Please elaborate.</w:t>
      </w:r>
    </w:p>
    <w:p w14:paraId="0AFC3119" w14:textId="6203C38F" w:rsidR="005E37DF" w:rsidRDefault="00272093" w:rsidP="00D22D04">
      <w:pPr>
        <w:jc w:val="both"/>
        <w:rPr>
          <w:rFonts w:ascii="Arial" w:hAnsi="Arial" w:cs="Arial"/>
          <w:sz w:val="22"/>
          <w:szCs w:val="22"/>
        </w:rPr>
      </w:pPr>
      <w:r>
        <w:rPr>
          <w:rFonts w:ascii="Arial" w:hAnsi="Arial" w:cs="Arial"/>
          <w:sz w:val="22"/>
          <w:szCs w:val="22"/>
        </w:rPr>
        <w:t>We agree with ESMA's proposal to remove the catch-all "other" category from the commodit</w:t>
      </w:r>
      <w:r w:rsidR="00E36F6C">
        <w:rPr>
          <w:rFonts w:ascii="Arial" w:hAnsi="Arial" w:cs="Arial"/>
          <w:sz w:val="22"/>
          <w:szCs w:val="22"/>
        </w:rPr>
        <w:t>y</w:t>
      </w:r>
      <w:r>
        <w:rPr>
          <w:rFonts w:ascii="Arial" w:hAnsi="Arial" w:cs="Arial"/>
          <w:sz w:val="22"/>
          <w:szCs w:val="22"/>
        </w:rPr>
        <w:t xml:space="preserve"> </w:t>
      </w:r>
      <w:r w:rsidR="005453D2">
        <w:rPr>
          <w:rFonts w:ascii="Arial" w:hAnsi="Arial" w:cs="Arial"/>
          <w:sz w:val="22"/>
          <w:szCs w:val="22"/>
        </w:rPr>
        <w:t>bucket</w:t>
      </w:r>
      <w:r w:rsidR="00E06012">
        <w:rPr>
          <w:rFonts w:ascii="Arial" w:hAnsi="Arial" w:cs="Arial"/>
          <w:sz w:val="22"/>
          <w:szCs w:val="22"/>
        </w:rPr>
        <w:t xml:space="preserve"> (see further </w:t>
      </w:r>
      <w:r w:rsidR="00452C5B">
        <w:rPr>
          <w:rFonts w:ascii="Arial" w:hAnsi="Arial" w:cs="Arial"/>
          <w:sz w:val="22"/>
          <w:szCs w:val="22"/>
        </w:rPr>
        <w:t xml:space="preserve">our response to </w:t>
      </w:r>
      <w:r w:rsidR="00E06012">
        <w:rPr>
          <w:rFonts w:ascii="Arial" w:hAnsi="Arial" w:cs="Arial"/>
          <w:sz w:val="22"/>
          <w:szCs w:val="22"/>
        </w:rPr>
        <w:t>Question 6)</w:t>
      </w:r>
      <w:r w:rsidR="005453D2">
        <w:rPr>
          <w:rFonts w:ascii="Arial" w:hAnsi="Arial" w:cs="Arial"/>
          <w:sz w:val="22"/>
          <w:szCs w:val="22"/>
        </w:rPr>
        <w:t xml:space="preserve">. </w:t>
      </w:r>
      <w:r w:rsidR="001A48FC">
        <w:rPr>
          <w:rFonts w:ascii="Arial" w:hAnsi="Arial" w:cs="Arial"/>
          <w:sz w:val="22"/>
          <w:szCs w:val="22"/>
        </w:rPr>
        <w:t xml:space="preserve">However, we recommend </w:t>
      </w:r>
      <w:r w:rsidR="008A41EE">
        <w:rPr>
          <w:rFonts w:ascii="Arial" w:hAnsi="Arial" w:cs="Arial"/>
          <w:sz w:val="22"/>
          <w:szCs w:val="22"/>
        </w:rPr>
        <w:t>that ESMA introduce a separate bucket for emission allowance derivatives with an appropriate threshold separate to the EUR 4 billion threshold for commodity derivatives</w:t>
      </w:r>
      <w:r w:rsidR="00005308">
        <w:rPr>
          <w:rFonts w:ascii="Arial" w:hAnsi="Arial" w:cs="Arial"/>
          <w:sz w:val="22"/>
          <w:szCs w:val="22"/>
        </w:rPr>
        <w:t>.</w:t>
      </w:r>
      <w:r w:rsidR="00617EE3">
        <w:rPr>
          <w:rFonts w:ascii="Arial" w:hAnsi="Arial" w:cs="Arial"/>
          <w:sz w:val="22"/>
          <w:szCs w:val="22"/>
        </w:rPr>
        <w:t xml:space="preserve"> This recommendation </w:t>
      </w:r>
      <w:proofErr w:type="gramStart"/>
      <w:r w:rsidR="00617EE3">
        <w:rPr>
          <w:rFonts w:ascii="Arial" w:hAnsi="Arial" w:cs="Arial"/>
          <w:sz w:val="22"/>
          <w:szCs w:val="22"/>
        </w:rPr>
        <w:t>is based on the assumption</w:t>
      </w:r>
      <w:proofErr w:type="gramEnd"/>
      <w:r w:rsidR="00617EE3">
        <w:rPr>
          <w:rFonts w:ascii="Arial" w:hAnsi="Arial" w:cs="Arial"/>
          <w:sz w:val="22"/>
          <w:szCs w:val="22"/>
        </w:rPr>
        <w:t xml:space="preserve"> that ESMA at least maintains the threshold for commodities at EUR 4 billion (see further our response </w:t>
      </w:r>
      <w:r w:rsidR="00300A57">
        <w:rPr>
          <w:rFonts w:ascii="Arial" w:hAnsi="Arial" w:cs="Arial"/>
          <w:sz w:val="22"/>
          <w:szCs w:val="22"/>
        </w:rPr>
        <w:t>to</w:t>
      </w:r>
      <w:r w:rsidR="00617EE3">
        <w:rPr>
          <w:rFonts w:ascii="Arial" w:hAnsi="Arial" w:cs="Arial"/>
          <w:sz w:val="22"/>
          <w:szCs w:val="22"/>
        </w:rPr>
        <w:t xml:space="preserve"> Question 3).</w:t>
      </w:r>
    </w:p>
    <w:p w14:paraId="7D1409F8" w14:textId="1242AA1B" w:rsidR="001010E3" w:rsidRDefault="005E37DF" w:rsidP="00D22D04">
      <w:pPr>
        <w:jc w:val="both"/>
        <w:rPr>
          <w:rFonts w:ascii="Arial" w:hAnsi="Arial" w:cs="Arial"/>
          <w:sz w:val="22"/>
          <w:szCs w:val="22"/>
        </w:rPr>
      </w:pPr>
      <w:r>
        <w:rPr>
          <w:rFonts w:ascii="Arial" w:hAnsi="Arial" w:cs="Arial"/>
          <w:sz w:val="22"/>
          <w:szCs w:val="22"/>
        </w:rPr>
        <w:t xml:space="preserve">However, </w:t>
      </w:r>
      <w:r w:rsidR="00564238">
        <w:rPr>
          <w:rFonts w:ascii="Arial" w:hAnsi="Arial" w:cs="Arial"/>
          <w:sz w:val="22"/>
          <w:szCs w:val="22"/>
        </w:rPr>
        <w:t>we would prefer ESMA maintain the current proposal of</w:t>
      </w:r>
      <w:r w:rsidR="002703EE">
        <w:rPr>
          <w:rFonts w:ascii="Arial" w:hAnsi="Arial" w:cs="Arial"/>
          <w:sz w:val="22"/>
          <w:szCs w:val="22"/>
        </w:rPr>
        <w:t xml:space="preserve"> a</w:t>
      </w:r>
      <w:r w:rsidR="00564238">
        <w:rPr>
          <w:rFonts w:ascii="Arial" w:hAnsi="Arial" w:cs="Arial"/>
          <w:sz w:val="22"/>
          <w:szCs w:val="22"/>
        </w:rPr>
        <w:t xml:space="preserve"> fifth bucket for both commodity and emission allowance derivatives than create a separate bucket for emissions allowance derivatives but do so at the expense of reducing the threshold for commodity derivatives</w:t>
      </w:r>
      <w:r>
        <w:rPr>
          <w:rFonts w:ascii="Arial" w:hAnsi="Arial" w:cs="Arial"/>
          <w:sz w:val="22"/>
          <w:szCs w:val="22"/>
        </w:rPr>
        <w:t>.</w:t>
      </w:r>
      <w:r w:rsidR="00AF5448">
        <w:rPr>
          <w:rStyle w:val="FootnoteReference"/>
          <w:rFonts w:ascii="Arial" w:hAnsi="Arial" w:cs="Arial"/>
          <w:sz w:val="22"/>
          <w:szCs w:val="22"/>
        </w:rPr>
        <w:footnoteReference w:id="16"/>
      </w:r>
      <w:r w:rsidR="00AF5448">
        <w:rPr>
          <w:rFonts w:ascii="Arial" w:hAnsi="Arial" w:cs="Arial"/>
          <w:sz w:val="22"/>
          <w:szCs w:val="22"/>
        </w:rPr>
        <w:t xml:space="preserve"> A combined bucket</w:t>
      </w:r>
      <w:r w:rsidR="001010E3">
        <w:rPr>
          <w:rFonts w:ascii="Arial" w:hAnsi="Arial" w:cs="Arial"/>
          <w:sz w:val="22"/>
          <w:szCs w:val="22"/>
        </w:rPr>
        <w:t xml:space="preserve"> </w:t>
      </w:r>
      <w:r>
        <w:rPr>
          <w:rFonts w:ascii="Arial" w:hAnsi="Arial" w:cs="Arial"/>
          <w:sz w:val="22"/>
          <w:szCs w:val="22"/>
        </w:rPr>
        <w:t xml:space="preserve">would </w:t>
      </w:r>
      <w:r w:rsidR="001010E3">
        <w:rPr>
          <w:rFonts w:ascii="Arial" w:hAnsi="Arial" w:cs="Arial"/>
          <w:sz w:val="22"/>
          <w:szCs w:val="22"/>
        </w:rPr>
        <w:t xml:space="preserve">facilitate </w:t>
      </w:r>
      <w:r w:rsidR="007A3E0C">
        <w:rPr>
          <w:rFonts w:ascii="Arial" w:hAnsi="Arial" w:cs="Arial"/>
          <w:sz w:val="22"/>
          <w:szCs w:val="22"/>
        </w:rPr>
        <w:t xml:space="preserve">the ability </w:t>
      </w:r>
      <w:r w:rsidR="0001434B">
        <w:rPr>
          <w:rFonts w:ascii="Arial" w:hAnsi="Arial" w:cs="Arial"/>
          <w:sz w:val="22"/>
          <w:szCs w:val="22"/>
        </w:rPr>
        <w:t>for</w:t>
      </w:r>
      <w:r w:rsidR="007A3E0C">
        <w:rPr>
          <w:rFonts w:ascii="Arial" w:hAnsi="Arial" w:cs="Arial"/>
          <w:sz w:val="22"/>
          <w:szCs w:val="22"/>
        </w:rPr>
        <w:t xml:space="preserve"> </w:t>
      </w:r>
      <w:r w:rsidR="001010E3">
        <w:rPr>
          <w:rFonts w:ascii="Arial" w:hAnsi="Arial" w:cs="Arial"/>
          <w:sz w:val="22"/>
          <w:szCs w:val="22"/>
        </w:rPr>
        <w:t>market participant</w:t>
      </w:r>
      <w:r w:rsidR="00892091">
        <w:rPr>
          <w:rFonts w:ascii="Arial" w:hAnsi="Arial" w:cs="Arial"/>
          <w:sz w:val="22"/>
          <w:szCs w:val="22"/>
        </w:rPr>
        <w:t>s</w:t>
      </w:r>
      <w:r w:rsidR="003275DD">
        <w:rPr>
          <w:rFonts w:ascii="Arial" w:hAnsi="Arial" w:cs="Arial"/>
          <w:sz w:val="22"/>
          <w:szCs w:val="22"/>
        </w:rPr>
        <w:t xml:space="preserve"> </w:t>
      </w:r>
      <w:r w:rsidR="007A3E0C">
        <w:rPr>
          <w:rFonts w:ascii="Arial" w:hAnsi="Arial" w:cs="Arial"/>
          <w:sz w:val="22"/>
          <w:szCs w:val="22"/>
        </w:rPr>
        <w:t>to monitor</w:t>
      </w:r>
      <w:r w:rsidR="001010E3">
        <w:rPr>
          <w:rFonts w:ascii="Arial" w:hAnsi="Arial" w:cs="Arial"/>
          <w:sz w:val="22"/>
          <w:szCs w:val="22"/>
        </w:rPr>
        <w:t xml:space="preserve"> these transactions</w:t>
      </w:r>
      <w:r w:rsidR="007A3E0C">
        <w:rPr>
          <w:rFonts w:ascii="Arial" w:hAnsi="Arial" w:cs="Arial"/>
          <w:sz w:val="22"/>
          <w:szCs w:val="22"/>
        </w:rPr>
        <w:t xml:space="preserve"> </w:t>
      </w:r>
      <w:r w:rsidR="002C0FB2">
        <w:rPr>
          <w:rFonts w:ascii="Arial" w:hAnsi="Arial" w:cs="Arial"/>
          <w:sz w:val="22"/>
          <w:szCs w:val="22"/>
        </w:rPr>
        <w:t>against</w:t>
      </w:r>
      <w:r w:rsidR="007A3E0C">
        <w:rPr>
          <w:rFonts w:ascii="Arial" w:hAnsi="Arial" w:cs="Arial"/>
          <w:sz w:val="22"/>
          <w:szCs w:val="22"/>
        </w:rPr>
        <w:t xml:space="preserve"> </w:t>
      </w:r>
      <w:r w:rsidR="003969BB">
        <w:rPr>
          <w:rFonts w:ascii="Arial" w:hAnsi="Arial" w:cs="Arial"/>
          <w:sz w:val="22"/>
          <w:szCs w:val="22"/>
        </w:rPr>
        <w:t>a single</w:t>
      </w:r>
      <w:r w:rsidR="007A3E0C">
        <w:rPr>
          <w:rFonts w:ascii="Arial" w:hAnsi="Arial" w:cs="Arial"/>
          <w:sz w:val="22"/>
          <w:szCs w:val="22"/>
        </w:rPr>
        <w:t xml:space="preserve"> clearing threshold</w:t>
      </w:r>
      <w:r>
        <w:rPr>
          <w:rFonts w:ascii="Arial" w:hAnsi="Arial" w:cs="Arial"/>
          <w:sz w:val="22"/>
          <w:szCs w:val="22"/>
        </w:rPr>
        <w:t xml:space="preserve">; </w:t>
      </w:r>
      <w:r w:rsidR="007E5453" w:rsidRPr="004B0CD6">
        <w:rPr>
          <w:rFonts w:ascii="Arial" w:hAnsi="Arial" w:cs="Arial"/>
          <w:sz w:val="22"/>
          <w:szCs w:val="22"/>
          <w:lang w:val="en-US"/>
        </w:rPr>
        <w:t>align with market practice</w:t>
      </w:r>
      <w:r w:rsidR="007A4D4E" w:rsidRPr="000F7F02">
        <w:rPr>
          <w:rFonts w:ascii="Arial" w:hAnsi="Arial" w:cs="Arial"/>
          <w:sz w:val="22"/>
          <w:szCs w:val="22"/>
          <w:lang w:val="en-US"/>
        </w:rPr>
        <w:t>, simplif</w:t>
      </w:r>
      <w:r w:rsidR="00617EE3">
        <w:rPr>
          <w:rFonts w:ascii="Arial" w:hAnsi="Arial" w:cs="Arial"/>
          <w:sz w:val="22"/>
          <w:szCs w:val="22"/>
          <w:lang w:val="en-US"/>
        </w:rPr>
        <w:t>y</w:t>
      </w:r>
      <w:r w:rsidR="007A4D4E" w:rsidRPr="000F7F02">
        <w:rPr>
          <w:rFonts w:ascii="Arial" w:hAnsi="Arial" w:cs="Arial"/>
          <w:sz w:val="22"/>
          <w:szCs w:val="22"/>
          <w:lang w:val="en-US"/>
        </w:rPr>
        <w:t xml:space="preserve"> operations</w:t>
      </w:r>
      <w:r>
        <w:rPr>
          <w:rFonts w:ascii="Arial" w:hAnsi="Arial" w:cs="Arial"/>
          <w:sz w:val="22"/>
          <w:szCs w:val="22"/>
          <w:lang w:val="en-US"/>
        </w:rPr>
        <w:t>;</w:t>
      </w:r>
      <w:r w:rsidR="00A74313">
        <w:rPr>
          <w:rFonts w:ascii="Arial" w:hAnsi="Arial" w:cs="Arial"/>
          <w:sz w:val="22"/>
          <w:szCs w:val="22"/>
          <w:lang w:val="en-US"/>
        </w:rPr>
        <w:t xml:space="preserve"> </w:t>
      </w:r>
      <w:r w:rsidR="00A90D65">
        <w:rPr>
          <w:rFonts w:ascii="Arial" w:hAnsi="Arial" w:cs="Arial"/>
          <w:sz w:val="22"/>
          <w:szCs w:val="22"/>
          <w:lang w:val="en-US"/>
        </w:rPr>
        <w:t xml:space="preserve">and </w:t>
      </w:r>
      <w:r w:rsidR="00617EE3">
        <w:rPr>
          <w:rFonts w:ascii="Arial" w:hAnsi="Arial" w:cs="Arial"/>
          <w:sz w:val="22"/>
          <w:szCs w:val="22"/>
          <w:lang w:val="en-US"/>
        </w:rPr>
        <w:t>reflect</w:t>
      </w:r>
      <w:r w:rsidR="00A74313">
        <w:rPr>
          <w:rFonts w:ascii="Arial" w:hAnsi="Arial" w:cs="Arial"/>
          <w:sz w:val="22"/>
          <w:szCs w:val="22"/>
          <w:lang w:val="en-US"/>
        </w:rPr>
        <w:t xml:space="preserve"> how energy and commodity trading is structured</w:t>
      </w:r>
      <w:r w:rsidR="007A4D4E" w:rsidRPr="000F7F02">
        <w:rPr>
          <w:rFonts w:ascii="Arial" w:hAnsi="Arial" w:cs="Arial"/>
          <w:sz w:val="22"/>
          <w:szCs w:val="22"/>
          <w:lang w:val="en-US"/>
        </w:rPr>
        <w:t xml:space="preserve"> in reality</w:t>
      </w:r>
      <w:r w:rsidR="006A2C59" w:rsidRPr="000F7F02">
        <w:rPr>
          <w:rFonts w:ascii="Arial" w:hAnsi="Arial" w:cs="Arial"/>
          <w:sz w:val="22"/>
          <w:szCs w:val="22"/>
          <w:lang w:val="en-US"/>
        </w:rPr>
        <w:t xml:space="preserve">. </w:t>
      </w:r>
      <w:r>
        <w:rPr>
          <w:rFonts w:ascii="Arial" w:hAnsi="Arial" w:cs="Arial"/>
          <w:sz w:val="22"/>
          <w:szCs w:val="22"/>
          <w:lang w:val="en-US"/>
        </w:rPr>
        <w:t xml:space="preserve">This would </w:t>
      </w:r>
      <w:r w:rsidR="007A4D4E" w:rsidRPr="008A523D">
        <w:rPr>
          <w:rFonts w:ascii="Arial" w:hAnsi="Arial" w:cs="Arial"/>
          <w:sz w:val="22"/>
          <w:szCs w:val="22"/>
          <w:lang w:val="en-US"/>
        </w:rPr>
        <w:t xml:space="preserve">also </w:t>
      </w:r>
      <w:r w:rsidR="006A2C59">
        <w:rPr>
          <w:rFonts w:ascii="Arial" w:hAnsi="Arial" w:cs="Arial"/>
          <w:sz w:val="22"/>
          <w:szCs w:val="22"/>
          <w:lang w:val="en-US"/>
        </w:rPr>
        <w:t>support</w:t>
      </w:r>
      <w:r w:rsidR="007E5453" w:rsidRPr="004B0CD6">
        <w:rPr>
          <w:rFonts w:ascii="Arial" w:hAnsi="Arial" w:cs="Arial"/>
          <w:sz w:val="22"/>
          <w:szCs w:val="22"/>
          <w:lang w:val="en-US"/>
        </w:rPr>
        <w:t xml:space="preserve"> coherent risk management, as emission allowance derivatives are often used in </w:t>
      </w:r>
      <w:r w:rsidR="007E5453" w:rsidRPr="004B0CD6">
        <w:rPr>
          <w:rFonts w:ascii="Arial" w:hAnsi="Arial" w:cs="Arial"/>
          <w:sz w:val="22"/>
          <w:szCs w:val="22"/>
          <w:lang w:val="en-US"/>
        </w:rPr>
        <w:lastRenderedPageBreak/>
        <w:t>integrated hedging strategies alongside commodity instruments.</w:t>
      </w:r>
      <w:r w:rsidR="00397014">
        <w:rPr>
          <w:rFonts w:ascii="Arial" w:hAnsi="Arial" w:cs="Arial"/>
          <w:sz w:val="22"/>
          <w:szCs w:val="22"/>
          <w:lang w:val="en-US"/>
        </w:rPr>
        <w:t xml:space="preserve"> </w:t>
      </w:r>
      <w:r w:rsidR="001010E3">
        <w:rPr>
          <w:rFonts w:ascii="Arial" w:hAnsi="Arial" w:cs="Arial"/>
          <w:sz w:val="22"/>
          <w:szCs w:val="22"/>
        </w:rPr>
        <w:t xml:space="preserve">However, </w:t>
      </w:r>
      <w:r w:rsidR="00397014">
        <w:rPr>
          <w:rFonts w:ascii="Arial" w:hAnsi="Arial" w:cs="Arial"/>
          <w:sz w:val="22"/>
          <w:szCs w:val="22"/>
        </w:rPr>
        <w:t xml:space="preserve">we </w:t>
      </w:r>
      <w:r w:rsidR="00200682">
        <w:rPr>
          <w:rFonts w:ascii="Arial" w:hAnsi="Arial" w:cs="Arial"/>
          <w:sz w:val="22"/>
          <w:szCs w:val="22"/>
        </w:rPr>
        <w:t>re-</w:t>
      </w:r>
      <w:r w:rsidR="00397014">
        <w:rPr>
          <w:rFonts w:ascii="Arial" w:hAnsi="Arial" w:cs="Arial"/>
          <w:sz w:val="22"/>
          <w:szCs w:val="22"/>
        </w:rPr>
        <w:t>emphasise</w:t>
      </w:r>
      <w:r w:rsidR="00200682">
        <w:rPr>
          <w:rFonts w:ascii="Arial" w:hAnsi="Arial" w:cs="Arial"/>
          <w:sz w:val="22"/>
          <w:szCs w:val="22"/>
        </w:rPr>
        <w:t xml:space="preserve">, pursuant to our response </w:t>
      </w:r>
      <w:r w:rsidR="00300A57">
        <w:rPr>
          <w:rFonts w:ascii="Arial" w:hAnsi="Arial" w:cs="Arial"/>
          <w:sz w:val="22"/>
          <w:szCs w:val="22"/>
        </w:rPr>
        <w:t>to</w:t>
      </w:r>
      <w:r w:rsidR="00200682">
        <w:rPr>
          <w:rFonts w:ascii="Arial" w:hAnsi="Arial" w:cs="Arial"/>
          <w:sz w:val="22"/>
          <w:szCs w:val="22"/>
        </w:rPr>
        <w:t xml:space="preserve"> Question 3,</w:t>
      </w:r>
      <w:r w:rsidR="00397014">
        <w:rPr>
          <w:rFonts w:ascii="Arial" w:hAnsi="Arial" w:cs="Arial"/>
          <w:sz w:val="22"/>
          <w:szCs w:val="22"/>
        </w:rPr>
        <w:t xml:space="preserve"> that </w:t>
      </w:r>
      <w:r w:rsidR="001010E3">
        <w:rPr>
          <w:rFonts w:ascii="Arial" w:hAnsi="Arial" w:cs="Arial"/>
          <w:sz w:val="22"/>
          <w:szCs w:val="22"/>
        </w:rPr>
        <w:t xml:space="preserve">a EUR </w:t>
      </w:r>
      <w:r w:rsidR="007D7F7E">
        <w:rPr>
          <w:rFonts w:ascii="Arial" w:hAnsi="Arial" w:cs="Arial"/>
          <w:sz w:val="22"/>
          <w:szCs w:val="22"/>
        </w:rPr>
        <w:t>3</w:t>
      </w:r>
      <w:r w:rsidR="001010E3">
        <w:rPr>
          <w:rFonts w:ascii="Arial" w:hAnsi="Arial" w:cs="Arial"/>
          <w:sz w:val="22"/>
          <w:szCs w:val="22"/>
        </w:rPr>
        <w:t xml:space="preserve"> billion threshold</w:t>
      </w:r>
      <w:r w:rsidR="006E64EF">
        <w:rPr>
          <w:rFonts w:ascii="Arial" w:hAnsi="Arial" w:cs="Arial"/>
          <w:sz w:val="22"/>
          <w:szCs w:val="22"/>
        </w:rPr>
        <w:t xml:space="preserve"> in respect of commodity and emission allowance derivatives</w:t>
      </w:r>
      <w:r w:rsidR="001010E3">
        <w:rPr>
          <w:rFonts w:ascii="Arial" w:hAnsi="Arial" w:cs="Arial"/>
          <w:sz w:val="22"/>
          <w:szCs w:val="22"/>
        </w:rPr>
        <w:t xml:space="preserve"> is too low</w:t>
      </w:r>
      <w:r w:rsidR="002C0FB2">
        <w:rPr>
          <w:rFonts w:ascii="Arial" w:hAnsi="Arial" w:cs="Arial"/>
          <w:sz w:val="22"/>
          <w:szCs w:val="22"/>
        </w:rPr>
        <w:t>.</w:t>
      </w:r>
      <w:r w:rsidR="007D7F7E">
        <w:rPr>
          <w:rFonts w:ascii="Arial" w:hAnsi="Arial" w:cs="Arial"/>
          <w:sz w:val="22"/>
          <w:szCs w:val="22"/>
        </w:rPr>
        <w:t xml:space="preserve"> </w:t>
      </w:r>
      <w:r w:rsidR="000B5167">
        <w:rPr>
          <w:rFonts w:ascii="Arial" w:hAnsi="Arial" w:cs="Arial"/>
          <w:sz w:val="22"/>
          <w:szCs w:val="22"/>
        </w:rPr>
        <w:t xml:space="preserve">We would instead recommend </w:t>
      </w:r>
      <w:r w:rsidR="00397014">
        <w:rPr>
          <w:rFonts w:ascii="Arial" w:hAnsi="Arial" w:cs="Arial"/>
          <w:sz w:val="22"/>
          <w:szCs w:val="22"/>
        </w:rPr>
        <w:t>at least maintain</w:t>
      </w:r>
      <w:r w:rsidR="00D7733C">
        <w:rPr>
          <w:rFonts w:ascii="Arial" w:hAnsi="Arial" w:cs="Arial"/>
          <w:sz w:val="22"/>
          <w:szCs w:val="22"/>
        </w:rPr>
        <w:t>ing</w:t>
      </w:r>
      <w:r w:rsidR="00397014">
        <w:rPr>
          <w:rFonts w:ascii="Arial" w:hAnsi="Arial" w:cs="Arial"/>
          <w:sz w:val="22"/>
          <w:szCs w:val="22"/>
        </w:rPr>
        <w:t xml:space="preserve"> this</w:t>
      </w:r>
      <w:r w:rsidR="00B03BD7">
        <w:rPr>
          <w:rFonts w:ascii="Arial" w:hAnsi="Arial" w:cs="Arial"/>
          <w:sz w:val="22"/>
          <w:szCs w:val="22"/>
        </w:rPr>
        <w:t xml:space="preserve"> </w:t>
      </w:r>
      <w:r w:rsidR="000B5167">
        <w:rPr>
          <w:rFonts w:ascii="Arial" w:hAnsi="Arial" w:cs="Arial"/>
          <w:sz w:val="22"/>
          <w:szCs w:val="22"/>
        </w:rPr>
        <w:t xml:space="preserve">threshold at EUR </w:t>
      </w:r>
      <w:r w:rsidR="00397014">
        <w:rPr>
          <w:rFonts w:ascii="Arial" w:hAnsi="Arial" w:cs="Arial"/>
          <w:sz w:val="22"/>
          <w:szCs w:val="22"/>
        </w:rPr>
        <w:t>4</w:t>
      </w:r>
      <w:r w:rsidR="000B5167">
        <w:rPr>
          <w:rFonts w:ascii="Arial" w:hAnsi="Arial" w:cs="Arial"/>
          <w:sz w:val="22"/>
          <w:szCs w:val="22"/>
        </w:rPr>
        <w:t xml:space="preserve"> billion. </w:t>
      </w:r>
      <w:r w:rsidR="00397014">
        <w:rPr>
          <w:rFonts w:ascii="Arial" w:hAnsi="Arial" w:cs="Arial"/>
          <w:sz w:val="22"/>
          <w:szCs w:val="22"/>
        </w:rPr>
        <w:t>Otherwise</w:t>
      </w:r>
      <w:r w:rsidR="00FC4330">
        <w:rPr>
          <w:rFonts w:ascii="Arial" w:hAnsi="Arial" w:cs="Arial"/>
          <w:sz w:val="22"/>
          <w:szCs w:val="22"/>
        </w:rPr>
        <w:t xml:space="preserve">, the combined bucket would stifle investment in the emission allowance derivatives market. </w:t>
      </w:r>
      <w:r w:rsidR="001010E3">
        <w:rPr>
          <w:rFonts w:ascii="Arial" w:hAnsi="Arial" w:cs="Arial"/>
          <w:sz w:val="22"/>
          <w:szCs w:val="22"/>
        </w:rPr>
        <w:t xml:space="preserve"> </w:t>
      </w:r>
    </w:p>
    <w:p w14:paraId="24B6B1B3" w14:textId="0FCF89ED" w:rsidR="00EF634B" w:rsidRDefault="00EF634B" w:rsidP="00D22D04">
      <w:pPr>
        <w:jc w:val="both"/>
        <w:rPr>
          <w:rFonts w:ascii="Arial" w:hAnsi="Arial" w:cs="Arial"/>
          <w:sz w:val="22"/>
          <w:szCs w:val="22"/>
        </w:rPr>
      </w:pPr>
      <w:r>
        <w:rPr>
          <w:rFonts w:ascii="Arial" w:hAnsi="Arial" w:cs="Arial"/>
          <w:sz w:val="22"/>
          <w:szCs w:val="22"/>
        </w:rPr>
        <w:t>We elaborate on our reasons below.</w:t>
      </w:r>
    </w:p>
    <w:p w14:paraId="1B276401" w14:textId="77777777" w:rsidR="00A10B8A" w:rsidRDefault="00A10B8A" w:rsidP="00CB32B1">
      <w:pPr>
        <w:pStyle w:val="ListParagraph"/>
        <w:numPr>
          <w:ilvl w:val="0"/>
          <w:numId w:val="19"/>
        </w:numPr>
        <w:jc w:val="both"/>
        <w:rPr>
          <w:rFonts w:ascii="Arial" w:hAnsi="Arial" w:cs="Arial"/>
          <w:b/>
          <w:bCs/>
          <w:sz w:val="22"/>
          <w:szCs w:val="22"/>
        </w:rPr>
      </w:pPr>
      <w:r>
        <w:rPr>
          <w:rFonts w:ascii="Arial" w:hAnsi="Arial" w:cs="Arial"/>
          <w:b/>
          <w:bCs/>
          <w:sz w:val="22"/>
          <w:szCs w:val="22"/>
        </w:rPr>
        <w:t>Increase liquidity in the market and encourage better pricing.</w:t>
      </w:r>
    </w:p>
    <w:p w14:paraId="5B1CD3C6" w14:textId="77777777" w:rsidR="00A10B8A" w:rsidRDefault="00A10B8A" w:rsidP="00A10B8A">
      <w:pPr>
        <w:pStyle w:val="ListParagraph"/>
        <w:jc w:val="both"/>
        <w:rPr>
          <w:rFonts w:ascii="Arial" w:hAnsi="Arial" w:cs="Arial"/>
          <w:b/>
          <w:bCs/>
          <w:sz w:val="22"/>
          <w:szCs w:val="22"/>
        </w:rPr>
      </w:pPr>
    </w:p>
    <w:p w14:paraId="328BA66D" w14:textId="60841F6B" w:rsidR="00EE51CD" w:rsidRDefault="00CA6CF2" w:rsidP="00EE51CD">
      <w:pPr>
        <w:pStyle w:val="ListParagraph"/>
        <w:jc w:val="both"/>
        <w:rPr>
          <w:rFonts w:ascii="Arial" w:hAnsi="Arial" w:cs="Arial"/>
          <w:sz w:val="22"/>
          <w:szCs w:val="22"/>
        </w:rPr>
      </w:pPr>
      <w:r w:rsidRPr="00A10B8A">
        <w:rPr>
          <w:rFonts w:ascii="Arial" w:hAnsi="Arial" w:cs="Arial"/>
          <w:sz w:val="22"/>
          <w:szCs w:val="22"/>
        </w:rPr>
        <w:t xml:space="preserve">A </w:t>
      </w:r>
      <w:r w:rsidR="008E0C77">
        <w:rPr>
          <w:rFonts w:ascii="Arial" w:hAnsi="Arial" w:cs="Arial"/>
          <w:sz w:val="22"/>
          <w:szCs w:val="22"/>
        </w:rPr>
        <w:t xml:space="preserve">separate/ </w:t>
      </w:r>
      <w:r w:rsidR="004030BB">
        <w:rPr>
          <w:rFonts w:ascii="Arial" w:hAnsi="Arial" w:cs="Arial"/>
          <w:sz w:val="22"/>
          <w:szCs w:val="22"/>
        </w:rPr>
        <w:t>higher threshold</w:t>
      </w:r>
      <w:r w:rsidRPr="00A10B8A">
        <w:rPr>
          <w:rFonts w:ascii="Arial" w:hAnsi="Arial" w:cs="Arial"/>
          <w:sz w:val="22"/>
          <w:szCs w:val="22"/>
        </w:rPr>
        <w:t xml:space="preserve"> would</w:t>
      </w:r>
      <w:r w:rsidR="00EF634B" w:rsidRPr="00A10B8A">
        <w:rPr>
          <w:rFonts w:ascii="Arial" w:hAnsi="Arial" w:cs="Arial"/>
          <w:sz w:val="22"/>
          <w:szCs w:val="22"/>
        </w:rPr>
        <w:t xml:space="preserve"> </w:t>
      </w:r>
      <w:r w:rsidRPr="00A10B8A">
        <w:rPr>
          <w:rFonts w:ascii="Arial" w:hAnsi="Arial" w:cs="Arial"/>
          <w:sz w:val="22"/>
          <w:szCs w:val="22"/>
        </w:rPr>
        <w:t>increase liquidity in the</w:t>
      </w:r>
      <w:r w:rsidR="007F7605">
        <w:rPr>
          <w:rFonts w:ascii="Arial" w:hAnsi="Arial" w:cs="Arial"/>
          <w:sz w:val="22"/>
          <w:szCs w:val="22"/>
        </w:rPr>
        <w:t xml:space="preserve"> emission allowance derivative</w:t>
      </w:r>
      <w:r w:rsidRPr="00A10B8A">
        <w:rPr>
          <w:rFonts w:ascii="Arial" w:hAnsi="Arial" w:cs="Arial"/>
          <w:sz w:val="22"/>
          <w:szCs w:val="22"/>
        </w:rPr>
        <w:t xml:space="preserve"> market and encourage better pricing.</w:t>
      </w:r>
      <w:r w:rsidR="00A10B8A">
        <w:rPr>
          <w:rFonts w:ascii="Arial" w:hAnsi="Arial" w:cs="Arial"/>
          <w:b/>
          <w:bCs/>
          <w:sz w:val="22"/>
          <w:szCs w:val="22"/>
        </w:rPr>
        <w:t xml:space="preserve"> </w:t>
      </w:r>
      <w:r w:rsidR="007E7951">
        <w:rPr>
          <w:rFonts w:ascii="Arial" w:hAnsi="Arial" w:cs="Arial"/>
          <w:sz w:val="22"/>
          <w:szCs w:val="22"/>
        </w:rPr>
        <w:t xml:space="preserve">The emission allowance market is naturally seeing substantial growth and resultant inflationary pressure on pricing </w:t>
      </w:r>
      <w:proofErr w:type="gramStart"/>
      <w:r w:rsidR="007E7951">
        <w:rPr>
          <w:rFonts w:ascii="Arial" w:hAnsi="Arial" w:cs="Arial"/>
          <w:sz w:val="22"/>
          <w:szCs w:val="22"/>
        </w:rPr>
        <w:t>as a result</w:t>
      </w:r>
      <w:r w:rsidR="00A15F9B">
        <w:rPr>
          <w:rFonts w:ascii="Arial" w:hAnsi="Arial" w:cs="Arial"/>
          <w:sz w:val="22"/>
          <w:szCs w:val="22"/>
        </w:rPr>
        <w:t xml:space="preserve"> of</w:t>
      </w:r>
      <w:proofErr w:type="gramEnd"/>
      <w:r w:rsidR="00A15F9B">
        <w:rPr>
          <w:rFonts w:ascii="Arial" w:hAnsi="Arial" w:cs="Arial"/>
          <w:sz w:val="22"/>
          <w:szCs w:val="22"/>
        </w:rPr>
        <w:t xml:space="preserve"> the global push to a more renewable and sustainable economy</w:t>
      </w:r>
      <w:r>
        <w:rPr>
          <w:rFonts w:ascii="Arial" w:hAnsi="Arial" w:cs="Arial"/>
          <w:sz w:val="22"/>
          <w:szCs w:val="22"/>
        </w:rPr>
        <w:t>.</w:t>
      </w:r>
      <w:r w:rsidR="006D5A1A">
        <w:rPr>
          <w:rFonts w:ascii="Arial" w:hAnsi="Arial" w:cs="Arial"/>
          <w:sz w:val="22"/>
          <w:szCs w:val="22"/>
        </w:rPr>
        <w:t xml:space="preserve"> We also note the growing need for emission allowances across industries</w:t>
      </w:r>
      <w:r w:rsidR="002B7FEC">
        <w:rPr>
          <w:rFonts w:ascii="Arial" w:hAnsi="Arial" w:cs="Arial"/>
          <w:sz w:val="22"/>
          <w:szCs w:val="22"/>
        </w:rPr>
        <w:t>. F</w:t>
      </w:r>
      <w:r w:rsidR="006D5A1A">
        <w:rPr>
          <w:rFonts w:ascii="Arial" w:hAnsi="Arial" w:cs="Arial"/>
          <w:sz w:val="22"/>
          <w:szCs w:val="22"/>
        </w:rPr>
        <w:t xml:space="preserve">or example, the </w:t>
      </w:r>
      <w:r w:rsidR="00B220E7">
        <w:rPr>
          <w:rFonts w:ascii="Arial" w:hAnsi="Arial" w:cs="Arial"/>
          <w:sz w:val="22"/>
          <w:szCs w:val="22"/>
        </w:rPr>
        <w:t xml:space="preserve">recent </w:t>
      </w:r>
      <w:r w:rsidR="006D5A1A">
        <w:rPr>
          <w:rFonts w:ascii="Arial" w:hAnsi="Arial" w:cs="Arial"/>
          <w:sz w:val="22"/>
          <w:szCs w:val="22"/>
        </w:rPr>
        <w:t>introduction of maritime activities to the EU Emissions Trading System impos</w:t>
      </w:r>
      <w:r w:rsidR="00B220E7">
        <w:rPr>
          <w:rFonts w:ascii="Arial" w:hAnsi="Arial" w:cs="Arial"/>
          <w:sz w:val="22"/>
          <w:szCs w:val="22"/>
        </w:rPr>
        <w:t>es</w:t>
      </w:r>
      <w:r w:rsidR="006D5A1A">
        <w:rPr>
          <w:rFonts w:ascii="Arial" w:hAnsi="Arial" w:cs="Arial"/>
          <w:sz w:val="22"/>
          <w:szCs w:val="22"/>
        </w:rPr>
        <w:t xml:space="preserve"> an obligation on shipping companies to surrender allowances.</w:t>
      </w:r>
      <w:r w:rsidR="006D5A1A">
        <w:rPr>
          <w:rStyle w:val="FootnoteReference"/>
          <w:rFonts w:ascii="Arial" w:hAnsi="Arial" w:cs="Arial"/>
          <w:sz w:val="22"/>
          <w:szCs w:val="22"/>
        </w:rPr>
        <w:footnoteReference w:id="17"/>
      </w:r>
      <w:r w:rsidR="006D5A1A">
        <w:rPr>
          <w:rFonts w:ascii="Arial" w:hAnsi="Arial" w:cs="Arial"/>
          <w:sz w:val="22"/>
          <w:szCs w:val="22"/>
        </w:rPr>
        <w:t xml:space="preserve"> </w:t>
      </w:r>
      <w:r w:rsidR="001F6BBC" w:rsidRPr="00DB7C04">
        <w:rPr>
          <w:rFonts w:ascii="Arial" w:hAnsi="Arial" w:cs="Arial"/>
          <w:sz w:val="22"/>
          <w:szCs w:val="22"/>
        </w:rPr>
        <w:t>Furthermore, the emission allowance system is designed so that the supply of allowances gradually decreases over time, which drives up their price, especially as demand is likely to remain steady due to ongoing economic growth.</w:t>
      </w:r>
      <w:r w:rsidR="00FE2FC2" w:rsidRPr="00DB7C04">
        <w:rPr>
          <w:rFonts w:ascii="Arial" w:hAnsi="Arial" w:cs="Arial"/>
          <w:sz w:val="22"/>
          <w:szCs w:val="22"/>
        </w:rPr>
        <w:t xml:space="preserve"> </w:t>
      </w:r>
    </w:p>
    <w:p w14:paraId="2A521C22" w14:textId="77777777" w:rsidR="00EE51CD" w:rsidRDefault="00EE51CD" w:rsidP="00EE51CD">
      <w:pPr>
        <w:pStyle w:val="ListParagraph"/>
        <w:jc w:val="both"/>
        <w:rPr>
          <w:rFonts w:ascii="Arial" w:hAnsi="Arial" w:cs="Arial"/>
          <w:sz w:val="22"/>
          <w:szCs w:val="22"/>
        </w:rPr>
      </w:pPr>
    </w:p>
    <w:p w14:paraId="69444428" w14:textId="7284AEC4" w:rsidR="00A10B8A" w:rsidRPr="00DB7C04" w:rsidRDefault="00A15F9B" w:rsidP="00EE51CD">
      <w:pPr>
        <w:pStyle w:val="ListParagraph"/>
        <w:jc w:val="both"/>
        <w:rPr>
          <w:rFonts w:ascii="Arial" w:hAnsi="Arial" w:cs="Arial"/>
          <w:sz w:val="22"/>
          <w:szCs w:val="22"/>
        </w:rPr>
      </w:pPr>
      <w:r w:rsidRPr="00DB7C04">
        <w:rPr>
          <w:rFonts w:ascii="Arial" w:hAnsi="Arial" w:cs="Arial"/>
          <w:sz w:val="22"/>
          <w:szCs w:val="22"/>
        </w:rPr>
        <w:t>This growth</w:t>
      </w:r>
      <w:r w:rsidR="0086425F">
        <w:rPr>
          <w:rFonts w:ascii="Arial" w:hAnsi="Arial" w:cs="Arial"/>
          <w:sz w:val="22"/>
          <w:szCs w:val="22"/>
        </w:rPr>
        <w:t xml:space="preserve"> and</w:t>
      </w:r>
      <w:r w:rsidR="001213E7" w:rsidRPr="00DB7C04">
        <w:rPr>
          <w:rFonts w:ascii="Arial" w:hAnsi="Arial" w:cs="Arial"/>
          <w:sz w:val="22"/>
          <w:szCs w:val="22"/>
        </w:rPr>
        <w:t xml:space="preserve"> increased demand</w:t>
      </w:r>
      <w:r w:rsidRPr="00DB7C04">
        <w:rPr>
          <w:rFonts w:ascii="Arial" w:hAnsi="Arial" w:cs="Arial"/>
          <w:sz w:val="22"/>
          <w:szCs w:val="22"/>
        </w:rPr>
        <w:t xml:space="preserve"> will result in emission allowance derivative</w:t>
      </w:r>
      <w:r w:rsidR="00AF5815" w:rsidRPr="00DB7C04">
        <w:rPr>
          <w:rFonts w:ascii="Arial" w:hAnsi="Arial" w:cs="Arial"/>
          <w:sz w:val="22"/>
          <w:szCs w:val="22"/>
        </w:rPr>
        <w:t>s</w:t>
      </w:r>
      <w:r w:rsidRPr="00DB7C04">
        <w:rPr>
          <w:rFonts w:ascii="Arial" w:hAnsi="Arial" w:cs="Arial"/>
          <w:sz w:val="22"/>
          <w:szCs w:val="22"/>
        </w:rPr>
        <w:t xml:space="preserve"> e</w:t>
      </w:r>
      <w:r w:rsidR="00CA6CF2" w:rsidRPr="00DB7C04">
        <w:rPr>
          <w:rFonts w:ascii="Arial" w:hAnsi="Arial" w:cs="Arial"/>
          <w:sz w:val="22"/>
          <w:szCs w:val="22"/>
        </w:rPr>
        <w:t>ncompass</w:t>
      </w:r>
      <w:r w:rsidRPr="00DB7C04">
        <w:rPr>
          <w:rFonts w:ascii="Arial" w:hAnsi="Arial" w:cs="Arial"/>
          <w:sz w:val="22"/>
          <w:szCs w:val="22"/>
        </w:rPr>
        <w:t>ing</w:t>
      </w:r>
      <w:r w:rsidR="00CA6CF2" w:rsidRPr="00DB7C04">
        <w:rPr>
          <w:rFonts w:ascii="Arial" w:hAnsi="Arial" w:cs="Arial"/>
          <w:sz w:val="22"/>
          <w:szCs w:val="22"/>
        </w:rPr>
        <w:t xml:space="preserve"> a larger proportion of the clearing threshold for commodity derivative</w:t>
      </w:r>
      <w:r w:rsidR="005E4A3C" w:rsidRPr="00DB7C04">
        <w:rPr>
          <w:rFonts w:ascii="Arial" w:hAnsi="Arial" w:cs="Arial"/>
          <w:sz w:val="22"/>
          <w:szCs w:val="22"/>
        </w:rPr>
        <w:t xml:space="preserve"> transactions</w:t>
      </w:r>
      <w:r w:rsidR="00AF5815" w:rsidRPr="00DB7C04">
        <w:rPr>
          <w:rFonts w:ascii="Arial" w:hAnsi="Arial" w:cs="Arial"/>
          <w:sz w:val="22"/>
          <w:szCs w:val="22"/>
        </w:rPr>
        <w:t xml:space="preserve"> where, as noted in</w:t>
      </w:r>
      <w:r w:rsidR="00300A57">
        <w:rPr>
          <w:rFonts w:ascii="Arial" w:hAnsi="Arial" w:cs="Arial"/>
          <w:sz w:val="22"/>
          <w:szCs w:val="22"/>
        </w:rPr>
        <w:t xml:space="preserve"> our response to</w:t>
      </w:r>
      <w:r w:rsidR="00AF5815" w:rsidRPr="00DB7C04">
        <w:rPr>
          <w:rFonts w:ascii="Arial" w:hAnsi="Arial" w:cs="Arial"/>
          <w:sz w:val="22"/>
          <w:szCs w:val="22"/>
        </w:rPr>
        <w:t xml:space="preserve"> Question </w:t>
      </w:r>
      <w:r w:rsidR="008B2138">
        <w:rPr>
          <w:rFonts w:ascii="Arial" w:hAnsi="Arial" w:cs="Arial"/>
          <w:sz w:val="22"/>
          <w:szCs w:val="22"/>
        </w:rPr>
        <w:t>3</w:t>
      </w:r>
      <w:r w:rsidR="00AF5815" w:rsidRPr="00DB7C04">
        <w:rPr>
          <w:rFonts w:ascii="Arial" w:hAnsi="Arial" w:cs="Arial"/>
          <w:sz w:val="22"/>
          <w:szCs w:val="22"/>
        </w:rPr>
        <w:t>, we believe the clearing threshold is already too low.</w:t>
      </w:r>
    </w:p>
    <w:p w14:paraId="164E823D" w14:textId="77777777" w:rsidR="00A10B8A" w:rsidRPr="00A10B8A" w:rsidRDefault="00A10B8A" w:rsidP="00A10B8A">
      <w:pPr>
        <w:pStyle w:val="ListParagraph"/>
        <w:jc w:val="both"/>
        <w:rPr>
          <w:rFonts w:ascii="Arial" w:hAnsi="Arial" w:cs="Arial"/>
          <w:sz w:val="22"/>
          <w:szCs w:val="22"/>
        </w:rPr>
      </w:pPr>
    </w:p>
    <w:p w14:paraId="7D6F54EB" w14:textId="6BB97C5A" w:rsidR="00CB32B1" w:rsidRPr="00CB32B1" w:rsidRDefault="00CB32B1" w:rsidP="00CB32B1">
      <w:pPr>
        <w:pStyle w:val="ListParagraph"/>
        <w:numPr>
          <w:ilvl w:val="0"/>
          <w:numId w:val="19"/>
        </w:numPr>
        <w:jc w:val="both"/>
        <w:rPr>
          <w:rFonts w:ascii="Arial" w:hAnsi="Arial" w:cs="Arial"/>
          <w:sz w:val="22"/>
          <w:szCs w:val="22"/>
        </w:rPr>
      </w:pPr>
      <w:r w:rsidRPr="00CB32B1">
        <w:rPr>
          <w:rFonts w:ascii="Arial" w:hAnsi="Arial" w:cs="Arial"/>
          <w:b/>
          <w:bCs/>
          <w:sz w:val="22"/>
          <w:szCs w:val="22"/>
        </w:rPr>
        <w:t>Stifle activity in the emission allowance market.</w:t>
      </w:r>
    </w:p>
    <w:p w14:paraId="79AA0477" w14:textId="5878B0E3" w:rsidR="003978F2" w:rsidRPr="003978F2" w:rsidRDefault="00CA6CF2" w:rsidP="003978F2">
      <w:pPr>
        <w:ind w:left="720"/>
        <w:jc w:val="both"/>
        <w:rPr>
          <w:rFonts w:ascii="Arial" w:hAnsi="Arial" w:cs="Arial"/>
          <w:sz w:val="22"/>
          <w:szCs w:val="22"/>
        </w:rPr>
      </w:pPr>
      <w:r>
        <w:rPr>
          <w:rFonts w:ascii="Arial" w:hAnsi="Arial" w:cs="Arial"/>
          <w:sz w:val="22"/>
          <w:szCs w:val="22"/>
        </w:rPr>
        <w:t>We note that</w:t>
      </w:r>
      <w:r w:rsidR="001048C8">
        <w:rPr>
          <w:rFonts w:ascii="Arial" w:hAnsi="Arial" w:cs="Arial"/>
          <w:sz w:val="22"/>
          <w:szCs w:val="22"/>
        </w:rPr>
        <w:t xml:space="preserve"> while </w:t>
      </w:r>
      <w:r>
        <w:rPr>
          <w:rFonts w:ascii="Arial" w:hAnsi="Arial" w:cs="Arial"/>
          <w:sz w:val="22"/>
          <w:szCs w:val="22"/>
        </w:rPr>
        <w:t>m</w:t>
      </w:r>
      <w:r w:rsidR="003D18F5">
        <w:rPr>
          <w:rFonts w:ascii="Arial" w:hAnsi="Arial" w:cs="Arial"/>
          <w:sz w:val="22"/>
          <w:szCs w:val="22"/>
        </w:rPr>
        <w:t xml:space="preserve">arket participants are seeing increased activity in the emission allowance </w:t>
      </w:r>
      <w:proofErr w:type="gramStart"/>
      <w:r w:rsidR="003D18F5">
        <w:rPr>
          <w:rFonts w:ascii="Arial" w:hAnsi="Arial" w:cs="Arial"/>
          <w:sz w:val="22"/>
          <w:szCs w:val="22"/>
        </w:rPr>
        <w:t>market</w:t>
      </w:r>
      <w:proofErr w:type="gramEnd"/>
      <w:r w:rsidR="001048C8">
        <w:rPr>
          <w:rFonts w:ascii="Arial" w:hAnsi="Arial" w:cs="Arial"/>
          <w:sz w:val="22"/>
          <w:szCs w:val="22"/>
        </w:rPr>
        <w:t xml:space="preserve"> they </w:t>
      </w:r>
      <w:r w:rsidR="00D1183D">
        <w:rPr>
          <w:rFonts w:ascii="Arial" w:hAnsi="Arial" w:cs="Arial"/>
          <w:sz w:val="22"/>
          <w:szCs w:val="22"/>
        </w:rPr>
        <w:t>are</w:t>
      </w:r>
      <w:r>
        <w:rPr>
          <w:rFonts w:ascii="Arial" w:hAnsi="Arial" w:cs="Arial"/>
          <w:sz w:val="22"/>
          <w:szCs w:val="22"/>
        </w:rPr>
        <w:t xml:space="preserve"> already</w:t>
      </w:r>
      <w:r w:rsidR="003D18F5">
        <w:rPr>
          <w:rFonts w:ascii="Arial" w:hAnsi="Arial" w:cs="Arial"/>
          <w:sz w:val="22"/>
          <w:szCs w:val="22"/>
        </w:rPr>
        <w:t xml:space="preserve"> limiting themselves from trading emission</w:t>
      </w:r>
      <w:r w:rsidR="00D1183D">
        <w:rPr>
          <w:rFonts w:ascii="Arial" w:hAnsi="Arial" w:cs="Arial"/>
          <w:sz w:val="22"/>
          <w:szCs w:val="22"/>
        </w:rPr>
        <w:t xml:space="preserve"> allowance derivatives </w:t>
      </w:r>
      <w:r w:rsidR="00611A9D">
        <w:rPr>
          <w:rFonts w:ascii="Arial" w:hAnsi="Arial" w:cs="Arial"/>
          <w:sz w:val="22"/>
          <w:szCs w:val="22"/>
        </w:rPr>
        <w:t xml:space="preserve">as the existing </w:t>
      </w:r>
      <w:r w:rsidR="00AE2B97">
        <w:rPr>
          <w:rFonts w:ascii="Arial" w:hAnsi="Arial" w:cs="Arial"/>
          <w:sz w:val="22"/>
          <w:szCs w:val="22"/>
        </w:rPr>
        <w:t xml:space="preserve">clearing </w:t>
      </w:r>
      <w:r w:rsidR="00611A9D">
        <w:rPr>
          <w:rFonts w:ascii="Arial" w:hAnsi="Arial" w:cs="Arial"/>
          <w:sz w:val="22"/>
          <w:szCs w:val="22"/>
        </w:rPr>
        <w:t>threshold for commodity derivativ</w:t>
      </w:r>
      <w:r w:rsidR="00AE2B97">
        <w:rPr>
          <w:rFonts w:ascii="Arial" w:hAnsi="Arial" w:cs="Arial"/>
          <w:sz w:val="22"/>
          <w:szCs w:val="22"/>
        </w:rPr>
        <w:t>es does not provide the necessary scope for them to</w:t>
      </w:r>
      <w:r w:rsidR="0075211F">
        <w:rPr>
          <w:rFonts w:ascii="Arial" w:hAnsi="Arial" w:cs="Arial"/>
          <w:sz w:val="22"/>
          <w:szCs w:val="22"/>
        </w:rPr>
        <w:t xml:space="preserve"> </w:t>
      </w:r>
      <w:r w:rsidR="0070618E">
        <w:rPr>
          <w:rFonts w:ascii="Arial" w:hAnsi="Arial" w:cs="Arial"/>
          <w:sz w:val="22"/>
          <w:szCs w:val="22"/>
        </w:rPr>
        <w:t>engage in this market.</w:t>
      </w:r>
    </w:p>
    <w:p w14:paraId="0DACC9A6" w14:textId="5186F490" w:rsidR="00BA137F" w:rsidRPr="00D67CE4" w:rsidRDefault="00BA137F" w:rsidP="007A7C63">
      <w:pPr>
        <w:jc w:val="both"/>
        <w:rPr>
          <w:rFonts w:ascii="Arial" w:hAnsi="Arial" w:cs="Arial"/>
          <w:b/>
          <w:bCs/>
          <w:sz w:val="22"/>
          <w:szCs w:val="22"/>
        </w:rPr>
      </w:pPr>
      <w:r w:rsidRPr="00D67CE4">
        <w:rPr>
          <w:rFonts w:ascii="Arial" w:hAnsi="Arial" w:cs="Arial"/>
          <w:b/>
          <w:bCs/>
          <w:sz w:val="22"/>
          <w:szCs w:val="22"/>
        </w:rPr>
        <w:t xml:space="preserve">Question 6:  </w:t>
      </w:r>
      <w:r w:rsidR="007A7C63" w:rsidRPr="007A7C63">
        <w:rPr>
          <w:rFonts w:ascii="Arial" w:hAnsi="Arial" w:cs="Arial"/>
          <w:b/>
          <w:bCs/>
          <w:sz w:val="22"/>
          <w:szCs w:val="22"/>
        </w:rPr>
        <w:t>Do you agree with ESMA’s proposal not to introduce a sixth bucket for other</w:t>
      </w:r>
      <w:r w:rsidR="007A7C63">
        <w:rPr>
          <w:rFonts w:ascii="Arial" w:hAnsi="Arial" w:cs="Arial"/>
          <w:b/>
          <w:bCs/>
          <w:sz w:val="22"/>
          <w:szCs w:val="22"/>
        </w:rPr>
        <w:t xml:space="preserve"> </w:t>
      </w:r>
      <w:r w:rsidR="007A7C63" w:rsidRPr="007A7C63">
        <w:rPr>
          <w:rFonts w:ascii="Arial" w:hAnsi="Arial" w:cs="Arial"/>
          <w:b/>
          <w:bCs/>
          <w:sz w:val="22"/>
          <w:szCs w:val="22"/>
        </w:rPr>
        <w:t>derivatives at this stage? If not, please elaborate.</w:t>
      </w:r>
    </w:p>
    <w:p w14:paraId="3ADF990F" w14:textId="188A3E5B" w:rsidR="005C1ED6" w:rsidRDefault="00CF58F5" w:rsidP="00D22D04">
      <w:pPr>
        <w:jc w:val="both"/>
        <w:rPr>
          <w:rFonts w:ascii="Arial" w:hAnsi="Arial" w:cs="Arial"/>
          <w:sz w:val="22"/>
          <w:szCs w:val="22"/>
        </w:rPr>
      </w:pPr>
      <w:r>
        <w:rPr>
          <w:rFonts w:ascii="Arial" w:hAnsi="Arial" w:cs="Arial"/>
          <w:sz w:val="22"/>
          <w:szCs w:val="22"/>
        </w:rPr>
        <w:t>We agree with ESMA's proposal not to introduce a sixth</w:t>
      </w:r>
      <w:r w:rsidR="006A615B">
        <w:rPr>
          <w:rFonts w:ascii="Arial" w:hAnsi="Arial" w:cs="Arial"/>
          <w:sz w:val="22"/>
          <w:szCs w:val="22"/>
        </w:rPr>
        <w:t xml:space="preserve"> catch-all bucket for</w:t>
      </w:r>
      <w:r>
        <w:rPr>
          <w:rFonts w:ascii="Arial" w:hAnsi="Arial" w:cs="Arial"/>
          <w:sz w:val="22"/>
          <w:szCs w:val="22"/>
        </w:rPr>
        <w:t xml:space="preserve"> "other derivatives</w:t>
      </w:r>
      <w:r w:rsidR="006A615B">
        <w:rPr>
          <w:rFonts w:ascii="Arial" w:hAnsi="Arial" w:cs="Arial"/>
          <w:sz w:val="22"/>
          <w:szCs w:val="22"/>
        </w:rPr>
        <w:t>.</w:t>
      </w:r>
      <w:r>
        <w:rPr>
          <w:rFonts w:ascii="Arial" w:hAnsi="Arial" w:cs="Arial"/>
          <w:sz w:val="22"/>
          <w:szCs w:val="22"/>
        </w:rPr>
        <w:t xml:space="preserve">" </w:t>
      </w:r>
      <w:r w:rsidR="00023008">
        <w:rPr>
          <w:rFonts w:ascii="Arial" w:hAnsi="Arial" w:cs="Arial"/>
          <w:sz w:val="22"/>
          <w:szCs w:val="22"/>
        </w:rPr>
        <w:t>We appreciate ESMA's recognition at paragraph 75 of the consultation paper that there is insufficient data to define other derivative asset classes a</w:t>
      </w:r>
      <w:r w:rsidR="00AA4AFB">
        <w:rPr>
          <w:rFonts w:ascii="Arial" w:hAnsi="Arial" w:cs="Arial"/>
          <w:sz w:val="22"/>
          <w:szCs w:val="22"/>
        </w:rPr>
        <w:t xml:space="preserve">nd </w:t>
      </w:r>
      <w:r w:rsidR="00023008">
        <w:rPr>
          <w:rFonts w:ascii="Arial" w:hAnsi="Arial" w:cs="Arial"/>
          <w:sz w:val="22"/>
          <w:szCs w:val="22"/>
        </w:rPr>
        <w:t xml:space="preserve">would </w:t>
      </w:r>
      <w:r w:rsidR="00F217E0">
        <w:rPr>
          <w:rFonts w:ascii="Arial" w:hAnsi="Arial" w:cs="Arial"/>
          <w:sz w:val="22"/>
          <w:szCs w:val="22"/>
        </w:rPr>
        <w:t>add that defining additional asset classe</w:t>
      </w:r>
      <w:r w:rsidR="007702EA">
        <w:rPr>
          <w:rFonts w:ascii="Arial" w:hAnsi="Arial" w:cs="Arial"/>
          <w:sz w:val="22"/>
          <w:szCs w:val="22"/>
        </w:rPr>
        <w:t xml:space="preserve">s in </w:t>
      </w:r>
      <w:r w:rsidR="00F217E0">
        <w:rPr>
          <w:rFonts w:ascii="Arial" w:hAnsi="Arial" w:cs="Arial"/>
          <w:sz w:val="22"/>
          <w:szCs w:val="22"/>
        </w:rPr>
        <w:t>market</w:t>
      </w:r>
      <w:r w:rsidR="007702EA">
        <w:rPr>
          <w:rFonts w:ascii="Arial" w:hAnsi="Arial" w:cs="Arial"/>
          <w:sz w:val="22"/>
          <w:szCs w:val="22"/>
        </w:rPr>
        <w:t>s that</w:t>
      </w:r>
      <w:r w:rsidR="0023545E">
        <w:rPr>
          <w:rFonts w:ascii="Arial" w:hAnsi="Arial" w:cs="Arial"/>
          <w:sz w:val="22"/>
          <w:szCs w:val="22"/>
        </w:rPr>
        <w:t xml:space="preserve"> have not developed sufficiently/ matured</w:t>
      </w:r>
      <w:r w:rsidR="00AA58BD">
        <w:rPr>
          <w:rFonts w:ascii="Arial" w:hAnsi="Arial" w:cs="Arial"/>
          <w:sz w:val="22"/>
          <w:szCs w:val="22"/>
        </w:rPr>
        <w:t xml:space="preserve"> risks </w:t>
      </w:r>
      <w:r w:rsidR="007702EA">
        <w:rPr>
          <w:rFonts w:ascii="Arial" w:hAnsi="Arial" w:cs="Arial"/>
          <w:sz w:val="22"/>
          <w:szCs w:val="22"/>
        </w:rPr>
        <w:t>discourag</w:t>
      </w:r>
      <w:r w:rsidR="00A03869">
        <w:rPr>
          <w:rFonts w:ascii="Arial" w:hAnsi="Arial" w:cs="Arial"/>
          <w:sz w:val="22"/>
          <w:szCs w:val="22"/>
        </w:rPr>
        <w:t>ing</w:t>
      </w:r>
      <w:r w:rsidR="007702EA">
        <w:rPr>
          <w:rFonts w:ascii="Arial" w:hAnsi="Arial" w:cs="Arial"/>
          <w:sz w:val="22"/>
          <w:szCs w:val="22"/>
        </w:rPr>
        <w:t xml:space="preserve"> growth and innovation in EU markets.</w:t>
      </w:r>
      <w:r w:rsidR="00F217E0">
        <w:rPr>
          <w:rFonts w:ascii="Arial" w:hAnsi="Arial" w:cs="Arial"/>
          <w:sz w:val="22"/>
          <w:szCs w:val="22"/>
        </w:rPr>
        <w:t xml:space="preserve"> </w:t>
      </w:r>
    </w:p>
    <w:p w14:paraId="32F81EF3" w14:textId="04F2CCF1" w:rsidR="00140824" w:rsidRDefault="00BA137F" w:rsidP="00D22D04">
      <w:pPr>
        <w:jc w:val="both"/>
        <w:rPr>
          <w:rFonts w:ascii="Arial" w:hAnsi="Arial" w:cs="Arial"/>
          <w:b/>
          <w:bCs/>
          <w:sz w:val="22"/>
          <w:szCs w:val="22"/>
        </w:rPr>
      </w:pPr>
      <w:r w:rsidRPr="00D67CE4">
        <w:rPr>
          <w:rFonts w:ascii="Arial" w:hAnsi="Arial" w:cs="Arial"/>
          <w:b/>
          <w:bCs/>
          <w:sz w:val="22"/>
          <w:szCs w:val="22"/>
        </w:rPr>
        <w:t xml:space="preserve">Question 7:  </w:t>
      </w:r>
      <w:r w:rsidR="007A7C63" w:rsidRPr="007A7C63">
        <w:rPr>
          <w:rFonts w:ascii="Arial" w:hAnsi="Arial" w:cs="Arial"/>
          <w:b/>
          <w:bCs/>
          <w:sz w:val="22"/>
          <w:szCs w:val="22"/>
        </w:rPr>
        <w:t>Do you agree with ESMA’s proposal not to introduce more granular thresholds for</w:t>
      </w:r>
      <w:r w:rsidR="007A7C63">
        <w:rPr>
          <w:rFonts w:ascii="Arial" w:hAnsi="Arial" w:cs="Arial"/>
          <w:b/>
          <w:bCs/>
          <w:sz w:val="22"/>
          <w:szCs w:val="22"/>
        </w:rPr>
        <w:t xml:space="preserve"> </w:t>
      </w:r>
      <w:r w:rsidR="007A7C63" w:rsidRPr="007A7C63">
        <w:rPr>
          <w:rFonts w:ascii="Arial" w:hAnsi="Arial" w:cs="Arial"/>
          <w:b/>
          <w:bCs/>
          <w:sz w:val="22"/>
          <w:szCs w:val="22"/>
        </w:rPr>
        <w:t>commodity derivatives based on ESG factors at this stage? If not, please elaborate.</w:t>
      </w:r>
      <w:r w:rsidR="00B9043F">
        <w:rPr>
          <w:rFonts w:ascii="Arial" w:hAnsi="Arial" w:cs="Arial"/>
          <w:b/>
          <w:bCs/>
          <w:sz w:val="22"/>
          <w:szCs w:val="22"/>
        </w:rPr>
        <w:t xml:space="preserve"> </w:t>
      </w:r>
    </w:p>
    <w:p w14:paraId="54B068DE" w14:textId="5E9F4231" w:rsidR="00CF58F5" w:rsidRPr="00630362" w:rsidRDefault="007E2612" w:rsidP="00D22D04">
      <w:pPr>
        <w:jc w:val="both"/>
        <w:rPr>
          <w:rFonts w:ascii="Arial" w:hAnsi="Arial" w:cs="Arial"/>
          <w:sz w:val="22"/>
          <w:szCs w:val="22"/>
        </w:rPr>
      </w:pPr>
      <w:r>
        <w:rPr>
          <w:rFonts w:ascii="Arial" w:hAnsi="Arial" w:cs="Arial"/>
          <w:sz w:val="22"/>
          <w:szCs w:val="22"/>
        </w:rPr>
        <w:t>We agree with ESMA's proposal not to introduce more granular thresholds for commodity derivatives based on ESG factors. We refer</w:t>
      </w:r>
      <w:r w:rsidR="00C2443F">
        <w:rPr>
          <w:rFonts w:ascii="Arial" w:hAnsi="Arial" w:cs="Arial"/>
          <w:sz w:val="22"/>
          <w:szCs w:val="22"/>
        </w:rPr>
        <w:t xml:space="preserve"> to</w:t>
      </w:r>
      <w:r>
        <w:rPr>
          <w:rFonts w:ascii="Arial" w:hAnsi="Arial" w:cs="Arial"/>
          <w:sz w:val="22"/>
          <w:szCs w:val="22"/>
        </w:rPr>
        <w:t xml:space="preserve"> our response </w:t>
      </w:r>
      <w:r w:rsidR="00300A57">
        <w:rPr>
          <w:rFonts w:ascii="Arial" w:hAnsi="Arial" w:cs="Arial"/>
          <w:sz w:val="22"/>
          <w:szCs w:val="22"/>
        </w:rPr>
        <w:t>to</w:t>
      </w:r>
      <w:r>
        <w:rPr>
          <w:rFonts w:ascii="Arial" w:hAnsi="Arial" w:cs="Arial"/>
          <w:sz w:val="22"/>
          <w:szCs w:val="22"/>
        </w:rPr>
        <w:t xml:space="preserve"> Question 4 which sets out the </w:t>
      </w:r>
      <w:r>
        <w:rPr>
          <w:rFonts w:ascii="Arial" w:hAnsi="Arial" w:cs="Arial"/>
          <w:sz w:val="22"/>
          <w:szCs w:val="22"/>
        </w:rPr>
        <w:lastRenderedPageBreak/>
        <w:t xml:space="preserve">difficulties </w:t>
      </w:r>
      <w:r w:rsidR="00E83857">
        <w:rPr>
          <w:rFonts w:ascii="Arial" w:hAnsi="Arial" w:cs="Arial"/>
          <w:sz w:val="22"/>
          <w:szCs w:val="22"/>
        </w:rPr>
        <w:t xml:space="preserve">(operational and otherwise) </w:t>
      </w:r>
      <w:r>
        <w:rPr>
          <w:rFonts w:ascii="Arial" w:hAnsi="Arial" w:cs="Arial"/>
          <w:sz w:val="22"/>
          <w:szCs w:val="22"/>
        </w:rPr>
        <w:t xml:space="preserve">associated with </w:t>
      </w:r>
      <w:r w:rsidR="00E83857">
        <w:rPr>
          <w:rFonts w:ascii="Arial" w:hAnsi="Arial" w:cs="Arial"/>
          <w:sz w:val="22"/>
          <w:szCs w:val="22"/>
        </w:rPr>
        <w:t xml:space="preserve">introducing </w:t>
      </w:r>
      <w:r>
        <w:rPr>
          <w:rFonts w:ascii="Arial" w:hAnsi="Arial" w:cs="Arial"/>
          <w:sz w:val="22"/>
          <w:szCs w:val="22"/>
        </w:rPr>
        <w:t>more granular thresholds</w:t>
      </w:r>
      <w:r w:rsidR="00CC3811">
        <w:rPr>
          <w:rFonts w:ascii="Arial" w:hAnsi="Arial" w:cs="Arial"/>
          <w:sz w:val="22"/>
          <w:szCs w:val="22"/>
        </w:rPr>
        <w:t xml:space="preserve"> which would equally apply here</w:t>
      </w:r>
      <w:r>
        <w:rPr>
          <w:rFonts w:ascii="Arial" w:hAnsi="Arial" w:cs="Arial"/>
          <w:sz w:val="22"/>
          <w:szCs w:val="22"/>
        </w:rPr>
        <w:t>. We would add that introduc</w:t>
      </w:r>
      <w:r w:rsidR="00B6167F">
        <w:rPr>
          <w:rFonts w:ascii="Arial" w:hAnsi="Arial" w:cs="Arial"/>
          <w:sz w:val="22"/>
          <w:szCs w:val="22"/>
        </w:rPr>
        <w:t>ing</w:t>
      </w:r>
      <w:r>
        <w:rPr>
          <w:rFonts w:ascii="Arial" w:hAnsi="Arial" w:cs="Arial"/>
          <w:sz w:val="22"/>
          <w:szCs w:val="22"/>
        </w:rPr>
        <w:t xml:space="preserve"> an ESG threshold would require ESMA to define what constitutes a "commodity derivative </w:t>
      </w:r>
      <w:r w:rsidR="009B0A5E">
        <w:rPr>
          <w:rFonts w:ascii="Arial" w:hAnsi="Arial" w:cs="Arial"/>
          <w:sz w:val="22"/>
          <w:szCs w:val="22"/>
        </w:rPr>
        <w:t xml:space="preserve">based </w:t>
      </w:r>
      <w:r>
        <w:rPr>
          <w:rFonts w:ascii="Arial" w:hAnsi="Arial" w:cs="Arial"/>
          <w:sz w:val="22"/>
          <w:szCs w:val="22"/>
        </w:rPr>
        <w:t>on ESG</w:t>
      </w:r>
      <w:r w:rsidR="009B0A5E">
        <w:rPr>
          <w:rFonts w:ascii="Arial" w:hAnsi="Arial" w:cs="Arial"/>
          <w:sz w:val="22"/>
          <w:szCs w:val="22"/>
        </w:rPr>
        <w:t xml:space="preserve"> factors</w:t>
      </w:r>
      <w:r>
        <w:rPr>
          <w:rFonts w:ascii="Arial" w:hAnsi="Arial" w:cs="Arial"/>
          <w:sz w:val="22"/>
          <w:szCs w:val="22"/>
        </w:rPr>
        <w:t xml:space="preserve">" </w:t>
      </w:r>
      <w:r w:rsidR="00BC06FD">
        <w:rPr>
          <w:rFonts w:ascii="Arial" w:hAnsi="Arial" w:cs="Arial"/>
          <w:sz w:val="22"/>
          <w:szCs w:val="22"/>
        </w:rPr>
        <w:t xml:space="preserve">which may be challenging, </w:t>
      </w:r>
      <w:r>
        <w:rPr>
          <w:rFonts w:ascii="Arial" w:hAnsi="Arial" w:cs="Arial"/>
          <w:sz w:val="22"/>
          <w:szCs w:val="22"/>
        </w:rPr>
        <w:t>particularly where there is no clear market consensus.</w:t>
      </w:r>
      <w:r w:rsidR="00B6167F">
        <w:rPr>
          <w:rFonts w:ascii="Arial" w:hAnsi="Arial" w:cs="Arial"/>
          <w:sz w:val="22"/>
          <w:szCs w:val="22"/>
        </w:rPr>
        <w:t xml:space="preserve"> </w:t>
      </w:r>
      <w:r>
        <w:rPr>
          <w:rFonts w:ascii="Arial" w:hAnsi="Arial" w:cs="Arial"/>
          <w:sz w:val="22"/>
          <w:szCs w:val="22"/>
        </w:rPr>
        <w:t xml:space="preserve">We also reference our response </w:t>
      </w:r>
      <w:r w:rsidR="00300A57">
        <w:rPr>
          <w:rFonts w:ascii="Arial" w:hAnsi="Arial" w:cs="Arial"/>
          <w:sz w:val="22"/>
          <w:szCs w:val="22"/>
        </w:rPr>
        <w:t>to</w:t>
      </w:r>
      <w:r>
        <w:rPr>
          <w:rFonts w:ascii="Arial" w:hAnsi="Arial" w:cs="Arial"/>
          <w:sz w:val="22"/>
          <w:szCs w:val="22"/>
        </w:rPr>
        <w:t xml:space="preserve"> Question 6 in respect of discouraging innovation in developing markets. Where there is a push in the EU to drive clean energy products, </w:t>
      </w:r>
      <w:r w:rsidR="00CB2940">
        <w:rPr>
          <w:rFonts w:ascii="Arial" w:hAnsi="Arial" w:cs="Arial"/>
          <w:sz w:val="22"/>
          <w:szCs w:val="22"/>
        </w:rPr>
        <w:t>it would be counterproductive to impose threshold</w:t>
      </w:r>
      <w:r w:rsidR="00893291">
        <w:rPr>
          <w:rFonts w:ascii="Arial" w:hAnsi="Arial" w:cs="Arial"/>
          <w:sz w:val="22"/>
          <w:szCs w:val="22"/>
        </w:rPr>
        <w:t>s</w:t>
      </w:r>
      <w:r w:rsidR="00CB2940">
        <w:rPr>
          <w:rFonts w:ascii="Arial" w:hAnsi="Arial" w:cs="Arial"/>
          <w:sz w:val="22"/>
          <w:szCs w:val="22"/>
        </w:rPr>
        <w:t xml:space="preserve"> which could reduce investment/ activity in ESG related commodity derivatives.</w:t>
      </w:r>
    </w:p>
    <w:p w14:paraId="535EEC30" w14:textId="3FE0AD76" w:rsidR="00BA137F" w:rsidRPr="00D67CE4" w:rsidRDefault="00BA137F" w:rsidP="007A7C63">
      <w:pPr>
        <w:jc w:val="both"/>
        <w:rPr>
          <w:rFonts w:ascii="Arial" w:hAnsi="Arial" w:cs="Arial"/>
          <w:b/>
          <w:bCs/>
          <w:sz w:val="22"/>
          <w:szCs w:val="22"/>
        </w:rPr>
      </w:pPr>
      <w:r w:rsidRPr="00D67CE4">
        <w:rPr>
          <w:rFonts w:ascii="Arial" w:hAnsi="Arial" w:cs="Arial"/>
          <w:b/>
          <w:bCs/>
          <w:sz w:val="22"/>
          <w:szCs w:val="22"/>
        </w:rPr>
        <w:t xml:space="preserve">Question 8:  </w:t>
      </w:r>
      <w:r w:rsidR="007A7C63" w:rsidRPr="007A7C63">
        <w:rPr>
          <w:rFonts w:ascii="Arial" w:hAnsi="Arial" w:cs="Arial"/>
          <w:b/>
          <w:bCs/>
          <w:sz w:val="22"/>
          <w:szCs w:val="22"/>
        </w:rPr>
        <w:t>Do you agree with ESMA’s proposal not to introduce more granular thresholds for</w:t>
      </w:r>
      <w:r w:rsidR="007A7C63">
        <w:rPr>
          <w:rFonts w:ascii="Arial" w:hAnsi="Arial" w:cs="Arial"/>
          <w:b/>
          <w:bCs/>
          <w:sz w:val="22"/>
          <w:szCs w:val="22"/>
        </w:rPr>
        <w:t xml:space="preserve"> </w:t>
      </w:r>
      <w:r w:rsidR="007A7C63" w:rsidRPr="007A7C63">
        <w:rPr>
          <w:rFonts w:ascii="Arial" w:hAnsi="Arial" w:cs="Arial"/>
          <w:b/>
          <w:bCs/>
          <w:sz w:val="22"/>
          <w:szCs w:val="22"/>
        </w:rPr>
        <w:t>commodity derivatives based on crypto-related features at this stage? If not, please</w:t>
      </w:r>
      <w:r w:rsidR="007A7C63">
        <w:rPr>
          <w:rFonts w:ascii="Arial" w:hAnsi="Arial" w:cs="Arial"/>
          <w:b/>
          <w:bCs/>
          <w:sz w:val="22"/>
          <w:szCs w:val="22"/>
        </w:rPr>
        <w:t xml:space="preserve"> </w:t>
      </w:r>
      <w:r w:rsidR="007A7C63" w:rsidRPr="007A7C63">
        <w:rPr>
          <w:rFonts w:ascii="Arial" w:hAnsi="Arial" w:cs="Arial"/>
          <w:b/>
          <w:bCs/>
          <w:sz w:val="22"/>
          <w:szCs w:val="22"/>
        </w:rPr>
        <w:t>elaborate.</w:t>
      </w:r>
    </w:p>
    <w:p w14:paraId="16E5CE4E" w14:textId="624F3482" w:rsidR="00950451" w:rsidRDefault="00253535" w:rsidP="00036251">
      <w:pPr>
        <w:jc w:val="both"/>
        <w:rPr>
          <w:rFonts w:ascii="Arial" w:hAnsi="Arial" w:cs="Arial"/>
          <w:sz w:val="22"/>
          <w:szCs w:val="22"/>
        </w:rPr>
      </w:pPr>
      <w:r>
        <w:rPr>
          <w:rFonts w:ascii="Arial" w:hAnsi="Arial" w:cs="Arial"/>
          <w:sz w:val="22"/>
          <w:szCs w:val="22"/>
        </w:rPr>
        <w:t xml:space="preserve">We agree with ESMA's proposal not to introduce more granular thresholds for commodity derivatives based on crypto-related features. In line with our response </w:t>
      </w:r>
      <w:r w:rsidR="00300A57">
        <w:rPr>
          <w:rFonts w:ascii="Arial" w:hAnsi="Arial" w:cs="Arial"/>
          <w:sz w:val="22"/>
          <w:szCs w:val="22"/>
        </w:rPr>
        <w:t>to</w:t>
      </w:r>
      <w:r>
        <w:rPr>
          <w:rFonts w:ascii="Arial" w:hAnsi="Arial" w:cs="Arial"/>
          <w:sz w:val="22"/>
          <w:szCs w:val="22"/>
        </w:rPr>
        <w:t xml:space="preserve"> Question 7, we do not see a benefit of imposing thresholds in respect of developing markets</w:t>
      </w:r>
      <w:r w:rsidR="00DF53CC">
        <w:rPr>
          <w:rFonts w:ascii="Arial" w:hAnsi="Arial" w:cs="Arial"/>
          <w:sz w:val="22"/>
          <w:szCs w:val="22"/>
        </w:rPr>
        <w:t xml:space="preserve"> which could have the unintended consequence of discouraging innovation.</w:t>
      </w:r>
      <w:r>
        <w:rPr>
          <w:rFonts w:ascii="Arial" w:hAnsi="Arial" w:cs="Arial"/>
          <w:sz w:val="22"/>
          <w:szCs w:val="22"/>
        </w:rPr>
        <w:t xml:space="preserve"> We would also add that where crypto has very volatile pricing, we anticipate that it would be challenging for ESMA to determine the appropriate threshold for </w:t>
      </w:r>
      <w:r w:rsidR="00AE5835">
        <w:rPr>
          <w:rFonts w:ascii="Arial" w:hAnsi="Arial" w:cs="Arial"/>
          <w:sz w:val="22"/>
          <w:szCs w:val="22"/>
        </w:rPr>
        <w:t xml:space="preserve">derivatives based on </w:t>
      </w:r>
      <w:r>
        <w:rPr>
          <w:rFonts w:ascii="Arial" w:hAnsi="Arial" w:cs="Arial"/>
          <w:sz w:val="22"/>
          <w:szCs w:val="22"/>
        </w:rPr>
        <w:t>crypto-related features at this stage.</w:t>
      </w:r>
    </w:p>
    <w:p w14:paraId="2A853FDD" w14:textId="179399E6" w:rsidR="00BA137F" w:rsidRPr="00D67CE4" w:rsidRDefault="00BA137F" w:rsidP="007A7C63">
      <w:pPr>
        <w:jc w:val="both"/>
        <w:rPr>
          <w:rFonts w:ascii="Arial" w:hAnsi="Arial" w:cs="Arial"/>
          <w:b/>
          <w:bCs/>
          <w:sz w:val="22"/>
          <w:szCs w:val="22"/>
        </w:rPr>
      </w:pPr>
      <w:r w:rsidRPr="00D67CE4">
        <w:rPr>
          <w:rFonts w:ascii="Arial" w:hAnsi="Arial" w:cs="Arial"/>
          <w:b/>
          <w:bCs/>
          <w:sz w:val="22"/>
          <w:szCs w:val="22"/>
        </w:rPr>
        <w:t xml:space="preserve">Question 9:  </w:t>
      </w:r>
      <w:r w:rsidR="007A7C63" w:rsidRPr="007A7C63">
        <w:rPr>
          <w:rFonts w:ascii="Arial" w:hAnsi="Arial" w:cs="Arial"/>
          <w:b/>
          <w:bCs/>
          <w:sz w:val="22"/>
          <w:szCs w:val="22"/>
        </w:rPr>
        <w:t>Do you consider clarifications should be included in Article 10 of Commission</w:t>
      </w:r>
      <w:r w:rsidR="007A7C63">
        <w:rPr>
          <w:rFonts w:ascii="Arial" w:hAnsi="Arial" w:cs="Arial"/>
          <w:b/>
          <w:bCs/>
          <w:sz w:val="22"/>
          <w:szCs w:val="22"/>
        </w:rPr>
        <w:t xml:space="preserve"> </w:t>
      </w:r>
      <w:r w:rsidR="007A7C63" w:rsidRPr="007A7C63">
        <w:rPr>
          <w:rFonts w:ascii="Arial" w:hAnsi="Arial" w:cs="Arial"/>
          <w:b/>
          <w:bCs/>
          <w:sz w:val="22"/>
          <w:szCs w:val="22"/>
        </w:rPr>
        <w:t>Delegated Regulation (EU) No 149/2013? If yes, please specify and if possible, provide</w:t>
      </w:r>
      <w:r w:rsidR="007A7C63">
        <w:rPr>
          <w:rFonts w:ascii="Arial" w:hAnsi="Arial" w:cs="Arial"/>
          <w:b/>
          <w:bCs/>
          <w:sz w:val="22"/>
          <w:szCs w:val="22"/>
        </w:rPr>
        <w:t xml:space="preserve"> </w:t>
      </w:r>
      <w:r w:rsidR="007A7C63" w:rsidRPr="007A7C63">
        <w:rPr>
          <w:rFonts w:ascii="Arial" w:hAnsi="Arial" w:cs="Arial"/>
          <w:b/>
          <w:bCs/>
          <w:sz w:val="22"/>
          <w:szCs w:val="22"/>
        </w:rPr>
        <w:t>arguments and drafting suggestions.</w:t>
      </w:r>
    </w:p>
    <w:p w14:paraId="3B80FF0D" w14:textId="6CA536AD" w:rsidR="007D52FF" w:rsidRDefault="00E618C6" w:rsidP="002842B7">
      <w:pPr>
        <w:jc w:val="both"/>
        <w:rPr>
          <w:rFonts w:ascii="Arial" w:hAnsi="Arial" w:cs="Arial"/>
          <w:sz w:val="22"/>
          <w:szCs w:val="22"/>
        </w:rPr>
      </w:pPr>
      <w:r>
        <w:rPr>
          <w:rFonts w:ascii="Arial" w:hAnsi="Arial" w:cs="Arial"/>
          <w:sz w:val="22"/>
          <w:szCs w:val="22"/>
        </w:rPr>
        <w:t xml:space="preserve">We </w:t>
      </w:r>
      <w:r w:rsidR="00295700">
        <w:rPr>
          <w:rFonts w:ascii="Arial" w:hAnsi="Arial" w:cs="Arial"/>
          <w:sz w:val="22"/>
          <w:szCs w:val="22"/>
        </w:rPr>
        <w:t xml:space="preserve">generally </w:t>
      </w:r>
      <w:r>
        <w:rPr>
          <w:rFonts w:ascii="Arial" w:hAnsi="Arial" w:cs="Arial"/>
          <w:sz w:val="22"/>
          <w:szCs w:val="22"/>
        </w:rPr>
        <w:t>do not consider that further clarifications should be included in Article 10 of Commission Delegated Regulation (EU) No 149/2013</w:t>
      </w:r>
      <w:r w:rsidR="00DB72D4">
        <w:rPr>
          <w:rFonts w:ascii="Arial" w:hAnsi="Arial" w:cs="Arial"/>
          <w:sz w:val="22"/>
          <w:szCs w:val="22"/>
        </w:rPr>
        <w:t xml:space="preserve"> (the "</w:t>
      </w:r>
      <w:r w:rsidR="00DB72D4" w:rsidRPr="00DB72D4">
        <w:rPr>
          <w:rFonts w:ascii="Arial" w:hAnsi="Arial" w:cs="Arial"/>
          <w:b/>
          <w:bCs/>
          <w:sz w:val="22"/>
          <w:szCs w:val="22"/>
        </w:rPr>
        <w:t>hedging exemption</w:t>
      </w:r>
      <w:r w:rsidR="00DB72D4">
        <w:rPr>
          <w:rFonts w:ascii="Arial" w:hAnsi="Arial" w:cs="Arial"/>
          <w:sz w:val="22"/>
          <w:szCs w:val="22"/>
        </w:rPr>
        <w:t>")</w:t>
      </w:r>
      <w:r w:rsidR="003B465F">
        <w:rPr>
          <w:rFonts w:ascii="Arial" w:hAnsi="Arial" w:cs="Arial"/>
          <w:sz w:val="22"/>
          <w:szCs w:val="22"/>
        </w:rPr>
        <w:t>. However, we would encourage ESMA to consider extending the hedging exemption</w:t>
      </w:r>
      <w:r w:rsidR="00381617">
        <w:rPr>
          <w:rFonts w:ascii="Arial" w:hAnsi="Arial" w:cs="Arial"/>
          <w:sz w:val="22"/>
          <w:szCs w:val="22"/>
        </w:rPr>
        <w:t xml:space="preserve"> to ensure that both </w:t>
      </w:r>
      <w:r w:rsidR="00815B04">
        <w:rPr>
          <w:rFonts w:ascii="Arial" w:hAnsi="Arial" w:cs="Arial"/>
          <w:sz w:val="22"/>
          <w:szCs w:val="22"/>
        </w:rPr>
        <w:t xml:space="preserve">non-financial </w:t>
      </w:r>
      <w:r w:rsidR="00381617">
        <w:rPr>
          <w:rFonts w:ascii="Arial" w:hAnsi="Arial" w:cs="Arial"/>
          <w:sz w:val="22"/>
          <w:szCs w:val="22"/>
        </w:rPr>
        <w:t>counterparties to a v</w:t>
      </w:r>
      <w:r w:rsidR="009A033F">
        <w:rPr>
          <w:rFonts w:ascii="Arial" w:hAnsi="Arial" w:cs="Arial"/>
          <w:sz w:val="22"/>
          <w:szCs w:val="22"/>
        </w:rPr>
        <w:t>irtual power purchase agreement ("</w:t>
      </w:r>
      <w:r w:rsidR="009A033F" w:rsidRPr="009A033F">
        <w:rPr>
          <w:rFonts w:ascii="Arial" w:hAnsi="Arial" w:cs="Arial"/>
          <w:b/>
          <w:bCs/>
          <w:sz w:val="22"/>
          <w:szCs w:val="22"/>
        </w:rPr>
        <w:t>virtual PPA</w:t>
      </w:r>
      <w:r w:rsidR="009A033F">
        <w:rPr>
          <w:rFonts w:ascii="Arial" w:hAnsi="Arial" w:cs="Arial"/>
          <w:sz w:val="22"/>
          <w:szCs w:val="22"/>
        </w:rPr>
        <w:t xml:space="preserve">") can </w:t>
      </w:r>
      <w:r w:rsidR="000E32C1">
        <w:rPr>
          <w:rFonts w:ascii="Arial" w:hAnsi="Arial" w:cs="Arial"/>
          <w:sz w:val="22"/>
          <w:szCs w:val="22"/>
        </w:rPr>
        <w:t>exclude it from their clearing threshold calculations</w:t>
      </w:r>
      <w:r w:rsidR="005836B3">
        <w:rPr>
          <w:rFonts w:ascii="Arial" w:hAnsi="Arial" w:cs="Arial"/>
          <w:sz w:val="22"/>
          <w:szCs w:val="22"/>
        </w:rPr>
        <w:t>,</w:t>
      </w:r>
      <w:r w:rsidR="005933D9" w:rsidRPr="005933D9">
        <w:rPr>
          <w:rFonts w:ascii="Arial" w:hAnsi="Arial" w:cs="Arial"/>
          <w:sz w:val="22"/>
          <w:szCs w:val="22"/>
        </w:rPr>
        <w:t xml:space="preserve"> </w:t>
      </w:r>
      <w:r w:rsidR="0018771A">
        <w:rPr>
          <w:rFonts w:ascii="Arial" w:hAnsi="Arial" w:cs="Arial"/>
          <w:sz w:val="22"/>
          <w:szCs w:val="22"/>
        </w:rPr>
        <w:t>even</w:t>
      </w:r>
      <w:r w:rsidR="005933D9" w:rsidRPr="005933D9">
        <w:rPr>
          <w:rFonts w:ascii="Arial" w:hAnsi="Arial" w:cs="Arial"/>
          <w:sz w:val="22"/>
          <w:szCs w:val="22"/>
        </w:rPr>
        <w:t xml:space="preserve"> where a counterparty may not be comfortable conclud</w:t>
      </w:r>
      <w:r w:rsidR="003B0565">
        <w:rPr>
          <w:rFonts w:ascii="Arial" w:hAnsi="Arial" w:cs="Arial"/>
          <w:sz w:val="22"/>
          <w:szCs w:val="22"/>
        </w:rPr>
        <w:t>ing that</w:t>
      </w:r>
      <w:r w:rsidR="005933D9" w:rsidRPr="005933D9">
        <w:rPr>
          <w:rFonts w:ascii="Arial" w:hAnsi="Arial" w:cs="Arial"/>
          <w:sz w:val="22"/>
          <w:szCs w:val="22"/>
        </w:rPr>
        <w:t xml:space="preserve"> the</w:t>
      </w:r>
      <w:r w:rsidR="008026F0">
        <w:rPr>
          <w:rFonts w:ascii="Arial" w:hAnsi="Arial" w:cs="Arial"/>
          <w:sz w:val="22"/>
          <w:szCs w:val="22"/>
        </w:rPr>
        <w:t xml:space="preserve"> virtual PPA is</w:t>
      </w:r>
      <w:r w:rsidR="005933D9" w:rsidRPr="005933D9">
        <w:rPr>
          <w:rFonts w:ascii="Arial" w:hAnsi="Arial" w:cs="Arial"/>
          <w:sz w:val="22"/>
          <w:szCs w:val="22"/>
        </w:rPr>
        <w:t xml:space="preserve"> objectively measurable as risk reducing in accordance with </w:t>
      </w:r>
      <w:r w:rsidR="001B5BD6">
        <w:rPr>
          <w:rFonts w:ascii="Arial" w:hAnsi="Arial" w:cs="Arial"/>
          <w:sz w:val="22"/>
          <w:szCs w:val="22"/>
        </w:rPr>
        <w:t>the hedging exemption</w:t>
      </w:r>
      <w:r w:rsidR="00B959E6">
        <w:rPr>
          <w:rFonts w:ascii="Arial" w:hAnsi="Arial" w:cs="Arial"/>
          <w:sz w:val="22"/>
          <w:szCs w:val="22"/>
        </w:rPr>
        <w:t xml:space="preserve">. </w:t>
      </w:r>
    </w:p>
    <w:p w14:paraId="6A3BD68E" w14:textId="3CB1A13D" w:rsidR="005836B3" w:rsidRDefault="00C240F1" w:rsidP="002842B7">
      <w:pPr>
        <w:jc w:val="both"/>
        <w:rPr>
          <w:rFonts w:ascii="Arial" w:hAnsi="Arial" w:cs="Arial"/>
          <w:sz w:val="22"/>
          <w:szCs w:val="22"/>
        </w:rPr>
      </w:pPr>
      <w:r>
        <w:rPr>
          <w:rFonts w:ascii="Arial" w:hAnsi="Arial" w:cs="Arial"/>
          <w:sz w:val="22"/>
          <w:szCs w:val="22"/>
        </w:rPr>
        <w:t>W</w:t>
      </w:r>
      <w:r w:rsidR="00B959E6">
        <w:rPr>
          <w:rFonts w:ascii="Arial" w:hAnsi="Arial" w:cs="Arial"/>
          <w:sz w:val="22"/>
          <w:szCs w:val="22"/>
        </w:rPr>
        <w:t xml:space="preserve">e appreciate that some virtual PPAs are </w:t>
      </w:r>
      <w:r w:rsidR="005836B3">
        <w:rPr>
          <w:rFonts w:ascii="Arial" w:hAnsi="Arial" w:cs="Arial"/>
          <w:sz w:val="22"/>
          <w:szCs w:val="22"/>
        </w:rPr>
        <w:t xml:space="preserve">clearly </w:t>
      </w:r>
      <w:r w:rsidR="00B959E6">
        <w:rPr>
          <w:rFonts w:ascii="Arial" w:hAnsi="Arial" w:cs="Arial"/>
          <w:sz w:val="22"/>
          <w:szCs w:val="22"/>
        </w:rPr>
        <w:t>considered risk reducing</w:t>
      </w:r>
      <w:r w:rsidR="000E32C1">
        <w:rPr>
          <w:rFonts w:ascii="Arial" w:hAnsi="Arial" w:cs="Arial"/>
          <w:sz w:val="22"/>
          <w:szCs w:val="22"/>
        </w:rPr>
        <w:t>. One potential instance of this is covered in</w:t>
      </w:r>
      <w:r w:rsidR="00B959E6">
        <w:rPr>
          <w:rFonts w:ascii="Arial" w:hAnsi="Arial" w:cs="Arial"/>
          <w:sz w:val="22"/>
          <w:szCs w:val="22"/>
        </w:rPr>
        <w:t xml:space="preserve"> the European Commission Q&amp;A referred to </w:t>
      </w:r>
      <w:proofErr w:type="spellStart"/>
      <w:r w:rsidR="00B959E6">
        <w:rPr>
          <w:rFonts w:ascii="Arial" w:hAnsi="Arial" w:cs="Arial"/>
          <w:sz w:val="22"/>
          <w:szCs w:val="22"/>
        </w:rPr>
        <w:t>at</w:t>
      </w:r>
      <w:proofErr w:type="spellEnd"/>
      <w:r w:rsidR="00B959E6">
        <w:rPr>
          <w:rFonts w:ascii="Arial" w:hAnsi="Arial" w:cs="Arial"/>
          <w:sz w:val="22"/>
          <w:szCs w:val="22"/>
        </w:rPr>
        <w:t xml:space="preserve"> paragraph 93 of the consultation paper. </w:t>
      </w:r>
      <w:r>
        <w:rPr>
          <w:rFonts w:ascii="Arial" w:hAnsi="Arial" w:cs="Arial"/>
          <w:sz w:val="22"/>
          <w:szCs w:val="22"/>
        </w:rPr>
        <w:t xml:space="preserve">However, we note </w:t>
      </w:r>
      <w:r w:rsidR="005836B3">
        <w:rPr>
          <w:rFonts w:ascii="Arial" w:hAnsi="Arial" w:cs="Arial"/>
          <w:sz w:val="22"/>
          <w:szCs w:val="22"/>
        </w:rPr>
        <w:t xml:space="preserve">that this guidance </w:t>
      </w:r>
      <w:r w:rsidR="00281302">
        <w:rPr>
          <w:rFonts w:ascii="Arial" w:hAnsi="Arial" w:cs="Arial"/>
          <w:sz w:val="22"/>
          <w:szCs w:val="22"/>
        </w:rPr>
        <w:t xml:space="preserve">only </w:t>
      </w:r>
      <w:r w:rsidR="005836B3">
        <w:rPr>
          <w:rFonts w:ascii="Arial" w:hAnsi="Arial" w:cs="Arial"/>
          <w:sz w:val="22"/>
          <w:szCs w:val="22"/>
        </w:rPr>
        <w:t xml:space="preserve">suggests that the provision of a hedge by the buyer </w:t>
      </w:r>
      <w:r w:rsidR="005836B3" w:rsidRPr="00281302">
        <w:rPr>
          <w:rFonts w:ascii="Arial" w:hAnsi="Arial" w:cs="Arial"/>
          <w:b/>
          <w:bCs/>
          <w:sz w:val="22"/>
          <w:szCs w:val="22"/>
        </w:rPr>
        <w:t>may</w:t>
      </w:r>
      <w:r w:rsidR="005836B3">
        <w:rPr>
          <w:rFonts w:ascii="Arial" w:hAnsi="Arial" w:cs="Arial"/>
          <w:sz w:val="22"/>
          <w:szCs w:val="22"/>
        </w:rPr>
        <w:t xml:space="preserve"> be considered directly related to its commercial activity </w:t>
      </w:r>
      <w:r w:rsidR="00DE2205">
        <w:rPr>
          <w:rFonts w:ascii="Arial" w:hAnsi="Arial" w:cs="Arial"/>
          <w:sz w:val="22"/>
          <w:szCs w:val="22"/>
        </w:rPr>
        <w:t>(therefore</w:t>
      </w:r>
      <w:r w:rsidR="005836B3">
        <w:rPr>
          <w:rFonts w:ascii="Arial" w:hAnsi="Arial" w:cs="Arial"/>
          <w:sz w:val="22"/>
          <w:szCs w:val="22"/>
        </w:rPr>
        <w:t xml:space="preserve"> fall</w:t>
      </w:r>
      <w:r w:rsidR="00DE2205">
        <w:rPr>
          <w:rFonts w:ascii="Arial" w:hAnsi="Arial" w:cs="Arial"/>
          <w:sz w:val="22"/>
          <w:szCs w:val="22"/>
        </w:rPr>
        <w:t>ing</w:t>
      </w:r>
      <w:r w:rsidR="005836B3">
        <w:rPr>
          <w:rFonts w:ascii="Arial" w:hAnsi="Arial" w:cs="Arial"/>
          <w:sz w:val="22"/>
          <w:szCs w:val="22"/>
        </w:rPr>
        <w:t xml:space="preserve"> under the hedging exemption</w:t>
      </w:r>
      <w:r w:rsidR="0014484D">
        <w:rPr>
          <w:rFonts w:ascii="Arial" w:hAnsi="Arial" w:cs="Arial"/>
          <w:sz w:val="22"/>
          <w:szCs w:val="22"/>
        </w:rPr>
        <w:t>)</w:t>
      </w:r>
      <w:r w:rsidR="005836B3">
        <w:rPr>
          <w:rFonts w:ascii="Arial" w:hAnsi="Arial" w:cs="Arial"/>
          <w:sz w:val="22"/>
          <w:szCs w:val="22"/>
        </w:rPr>
        <w:t>.</w:t>
      </w:r>
      <w:r>
        <w:rPr>
          <w:rFonts w:ascii="Arial" w:hAnsi="Arial" w:cs="Arial"/>
          <w:sz w:val="22"/>
          <w:szCs w:val="22"/>
        </w:rPr>
        <w:t xml:space="preserve"> </w:t>
      </w:r>
      <w:r w:rsidR="005836B3">
        <w:rPr>
          <w:rFonts w:ascii="Arial" w:hAnsi="Arial" w:cs="Arial"/>
          <w:sz w:val="22"/>
          <w:szCs w:val="22"/>
        </w:rPr>
        <w:t xml:space="preserve">The uncertainty of this position, </w:t>
      </w:r>
      <w:r w:rsidR="00FF5250">
        <w:rPr>
          <w:rFonts w:ascii="Arial" w:hAnsi="Arial" w:cs="Arial"/>
          <w:sz w:val="22"/>
          <w:szCs w:val="22"/>
        </w:rPr>
        <w:t>particularly given</w:t>
      </w:r>
      <w:r w:rsidR="005836B3">
        <w:rPr>
          <w:rFonts w:ascii="Arial" w:hAnsi="Arial" w:cs="Arial"/>
          <w:sz w:val="22"/>
          <w:szCs w:val="22"/>
        </w:rPr>
        <w:t xml:space="preserve"> buyers are </w:t>
      </w:r>
      <w:r w:rsidR="00A25460">
        <w:rPr>
          <w:rFonts w:ascii="Arial" w:hAnsi="Arial" w:cs="Arial"/>
          <w:sz w:val="22"/>
          <w:szCs w:val="22"/>
        </w:rPr>
        <w:t xml:space="preserve">not always able </w:t>
      </w:r>
      <w:r w:rsidR="005836B3">
        <w:rPr>
          <w:rFonts w:ascii="Arial" w:hAnsi="Arial" w:cs="Arial"/>
          <w:sz w:val="22"/>
          <w:szCs w:val="22"/>
        </w:rPr>
        <w:t xml:space="preserve">to link </w:t>
      </w:r>
      <w:r w:rsidR="00A25460">
        <w:rPr>
          <w:rFonts w:ascii="Arial" w:hAnsi="Arial" w:cs="Arial"/>
          <w:sz w:val="22"/>
          <w:szCs w:val="22"/>
        </w:rPr>
        <w:t xml:space="preserve">the provision of a virtual PPA to </w:t>
      </w:r>
      <w:r w:rsidR="005836B3">
        <w:rPr>
          <w:rFonts w:ascii="Arial" w:hAnsi="Arial" w:cs="Arial"/>
          <w:sz w:val="22"/>
          <w:szCs w:val="22"/>
        </w:rPr>
        <w:t>a corresponding commercial activity, has meant that</w:t>
      </w:r>
      <w:r w:rsidR="00281302">
        <w:rPr>
          <w:rFonts w:ascii="Arial" w:hAnsi="Arial" w:cs="Arial"/>
          <w:sz w:val="22"/>
          <w:szCs w:val="22"/>
        </w:rPr>
        <w:t xml:space="preserve"> NFCs</w:t>
      </w:r>
      <w:r w:rsidR="005836B3">
        <w:rPr>
          <w:rFonts w:ascii="Arial" w:hAnsi="Arial" w:cs="Arial"/>
          <w:sz w:val="22"/>
          <w:szCs w:val="22"/>
        </w:rPr>
        <w:t xml:space="preserve"> </w:t>
      </w:r>
      <w:r w:rsidR="00281302">
        <w:rPr>
          <w:rFonts w:ascii="Arial" w:hAnsi="Arial" w:cs="Arial"/>
          <w:sz w:val="22"/>
          <w:szCs w:val="22"/>
        </w:rPr>
        <w:t xml:space="preserve">are </w:t>
      </w:r>
      <w:r w:rsidR="00A25460">
        <w:rPr>
          <w:rFonts w:ascii="Arial" w:hAnsi="Arial" w:cs="Arial"/>
          <w:sz w:val="22"/>
          <w:szCs w:val="22"/>
        </w:rPr>
        <w:t>not always able to</w:t>
      </w:r>
      <w:r w:rsidR="005836B3">
        <w:rPr>
          <w:rFonts w:ascii="Arial" w:hAnsi="Arial" w:cs="Arial"/>
          <w:sz w:val="22"/>
          <w:szCs w:val="22"/>
        </w:rPr>
        <w:t xml:space="preserve"> rely on the hedging exempti</w:t>
      </w:r>
      <w:r w:rsidR="00A25460">
        <w:rPr>
          <w:rFonts w:ascii="Arial" w:hAnsi="Arial" w:cs="Arial"/>
          <w:sz w:val="22"/>
          <w:szCs w:val="22"/>
        </w:rPr>
        <w:t>on</w:t>
      </w:r>
      <w:r w:rsidR="005836B3">
        <w:rPr>
          <w:rFonts w:ascii="Arial" w:hAnsi="Arial" w:cs="Arial"/>
          <w:sz w:val="22"/>
          <w:szCs w:val="22"/>
        </w:rPr>
        <w:t xml:space="preserve">. </w:t>
      </w:r>
      <w:r w:rsidR="00281302">
        <w:rPr>
          <w:rFonts w:ascii="Arial" w:hAnsi="Arial" w:cs="Arial"/>
          <w:sz w:val="22"/>
          <w:szCs w:val="22"/>
        </w:rPr>
        <w:t>These virtual PPAs can quickly add up in terms of contribution towards the clearing thresholds, a</w:t>
      </w:r>
      <w:r w:rsidR="00B64F5F">
        <w:rPr>
          <w:rFonts w:ascii="Arial" w:hAnsi="Arial" w:cs="Arial"/>
          <w:sz w:val="22"/>
          <w:szCs w:val="22"/>
        </w:rPr>
        <w:t xml:space="preserve">s </w:t>
      </w:r>
      <w:r w:rsidR="00281302">
        <w:rPr>
          <w:rFonts w:ascii="Arial" w:hAnsi="Arial" w:cs="Arial"/>
          <w:sz w:val="22"/>
          <w:szCs w:val="22"/>
        </w:rPr>
        <w:t xml:space="preserve">highlighted by </w:t>
      </w:r>
      <w:r w:rsidR="00B64F5F">
        <w:rPr>
          <w:rFonts w:ascii="Arial" w:hAnsi="Arial" w:cs="Arial"/>
          <w:sz w:val="22"/>
          <w:szCs w:val="22"/>
        </w:rPr>
        <w:t>ESMA at paragraph 94 of the consultation paper</w:t>
      </w:r>
      <w:r w:rsidR="00281302">
        <w:rPr>
          <w:rFonts w:ascii="Arial" w:hAnsi="Arial" w:cs="Arial"/>
          <w:sz w:val="22"/>
          <w:szCs w:val="22"/>
        </w:rPr>
        <w:t xml:space="preserve">. </w:t>
      </w:r>
      <w:r w:rsidR="00B64F5F">
        <w:rPr>
          <w:rFonts w:ascii="Arial" w:hAnsi="Arial" w:cs="Arial"/>
          <w:sz w:val="22"/>
          <w:szCs w:val="22"/>
        </w:rPr>
        <w:t>The quantity of trading possible under the proposed commodity clearing threshold is barely sufficient for a single NFC to provide a long-term price hedge for a single large-scale offshore wind park.</w:t>
      </w:r>
      <w:r w:rsidR="00B64F5F">
        <w:rPr>
          <w:rStyle w:val="FootnoteReference"/>
          <w:rFonts w:ascii="Arial" w:hAnsi="Arial" w:cs="Arial"/>
          <w:sz w:val="22"/>
          <w:szCs w:val="22"/>
        </w:rPr>
        <w:footnoteReference w:id="18"/>
      </w:r>
      <w:r w:rsidR="00B64F5F">
        <w:rPr>
          <w:rFonts w:ascii="Arial" w:hAnsi="Arial" w:cs="Arial"/>
          <w:sz w:val="22"/>
          <w:szCs w:val="22"/>
        </w:rPr>
        <w:t xml:space="preserve"> As identified by the European Commission, this discourages energy firms from providing these hedges which is counterproductive to ensuring price stability in energy costs.</w:t>
      </w:r>
    </w:p>
    <w:p w14:paraId="6E8FCCD0" w14:textId="77777777" w:rsidR="007A4523" w:rsidRDefault="005933D9" w:rsidP="007A7C63">
      <w:pPr>
        <w:jc w:val="both"/>
        <w:rPr>
          <w:rFonts w:ascii="Arial" w:hAnsi="Arial" w:cs="Arial"/>
          <w:sz w:val="22"/>
          <w:szCs w:val="22"/>
        </w:rPr>
      </w:pPr>
      <w:r w:rsidRPr="00AA44A3">
        <w:rPr>
          <w:rFonts w:ascii="Arial" w:hAnsi="Arial" w:cs="Arial"/>
          <w:sz w:val="22"/>
          <w:szCs w:val="22"/>
        </w:rPr>
        <w:lastRenderedPageBreak/>
        <w:t xml:space="preserve">It is vital, however, that any such extension of </w:t>
      </w:r>
      <w:r w:rsidR="001B5BD6" w:rsidRPr="00AA44A3">
        <w:rPr>
          <w:rFonts w:ascii="Arial" w:hAnsi="Arial" w:cs="Arial"/>
          <w:sz w:val="22"/>
          <w:szCs w:val="22"/>
        </w:rPr>
        <w:t>the hedging exemption</w:t>
      </w:r>
      <w:r w:rsidRPr="00AA44A3">
        <w:rPr>
          <w:rFonts w:ascii="Arial" w:hAnsi="Arial" w:cs="Arial"/>
          <w:sz w:val="22"/>
          <w:szCs w:val="22"/>
        </w:rPr>
        <w:t xml:space="preserve"> should </w:t>
      </w:r>
      <w:r w:rsidR="00B959E6" w:rsidRPr="00AA44A3">
        <w:rPr>
          <w:rFonts w:ascii="Arial" w:hAnsi="Arial" w:cs="Arial"/>
          <w:sz w:val="22"/>
          <w:szCs w:val="22"/>
        </w:rPr>
        <w:t>be clear</w:t>
      </w:r>
      <w:r w:rsidRPr="00AA44A3">
        <w:rPr>
          <w:rFonts w:ascii="Arial" w:hAnsi="Arial" w:cs="Arial"/>
          <w:sz w:val="22"/>
          <w:szCs w:val="22"/>
        </w:rPr>
        <w:t xml:space="preserve"> that this </w:t>
      </w:r>
      <w:r w:rsidR="00B959E6" w:rsidRPr="00AA44A3">
        <w:rPr>
          <w:rFonts w:ascii="Arial" w:hAnsi="Arial" w:cs="Arial"/>
          <w:sz w:val="22"/>
          <w:szCs w:val="22"/>
        </w:rPr>
        <w:t xml:space="preserve">extension </w:t>
      </w:r>
      <w:r w:rsidRPr="00AA44A3">
        <w:rPr>
          <w:rFonts w:ascii="Arial" w:hAnsi="Arial" w:cs="Arial"/>
          <w:sz w:val="22"/>
          <w:szCs w:val="22"/>
        </w:rPr>
        <w:t xml:space="preserve">is </w:t>
      </w:r>
      <w:r w:rsidRPr="00AA44A3">
        <w:rPr>
          <w:rFonts w:ascii="Arial" w:hAnsi="Arial" w:cs="Arial"/>
          <w:b/>
          <w:bCs/>
          <w:sz w:val="22"/>
          <w:szCs w:val="22"/>
        </w:rPr>
        <w:t>in addition to</w:t>
      </w:r>
      <w:r w:rsidRPr="00AA44A3">
        <w:rPr>
          <w:rFonts w:ascii="Arial" w:hAnsi="Arial" w:cs="Arial"/>
          <w:sz w:val="22"/>
          <w:szCs w:val="22"/>
        </w:rPr>
        <w:t xml:space="preserve"> the current scope of the hedging exemption and should not be construed as </w:t>
      </w:r>
      <w:r w:rsidR="00300A57" w:rsidRPr="00AA44A3">
        <w:rPr>
          <w:rFonts w:ascii="Arial" w:hAnsi="Arial" w:cs="Arial"/>
          <w:sz w:val="22"/>
          <w:szCs w:val="22"/>
        </w:rPr>
        <w:t xml:space="preserve">interpretative (i.e. </w:t>
      </w:r>
      <w:r w:rsidRPr="00AA44A3">
        <w:rPr>
          <w:rFonts w:ascii="Arial" w:hAnsi="Arial" w:cs="Arial"/>
          <w:sz w:val="22"/>
          <w:szCs w:val="22"/>
        </w:rPr>
        <w:t>limiting</w:t>
      </w:r>
      <w:r w:rsidR="00300A57" w:rsidRPr="00AA44A3">
        <w:rPr>
          <w:rFonts w:ascii="Arial" w:hAnsi="Arial" w:cs="Arial"/>
          <w:sz w:val="22"/>
          <w:szCs w:val="22"/>
        </w:rPr>
        <w:t>)</w:t>
      </w:r>
      <w:r w:rsidRPr="00AA44A3">
        <w:rPr>
          <w:rFonts w:ascii="Arial" w:hAnsi="Arial" w:cs="Arial"/>
          <w:sz w:val="22"/>
          <w:szCs w:val="22"/>
        </w:rPr>
        <w:t xml:space="preserve"> the </w:t>
      </w:r>
      <w:r w:rsidR="008F4EDF" w:rsidRPr="00AA44A3">
        <w:rPr>
          <w:rFonts w:ascii="Arial" w:hAnsi="Arial" w:cs="Arial"/>
          <w:sz w:val="22"/>
          <w:szCs w:val="22"/>
        </w:rPr>
        <w:t xml:space="preserve">existing </w:t>
      </w:r>
      <w:r w:rsidRPr="00AA44A3">
        <w:rPr>
          <w:rFonts w:ascii="Arial" w:hAnsi="Arial" w:cs="Arial"/>
          <w:sz w:val="22"/>
          <w:szCs w:val="22"/>
        </w:rPr>
        <w:t xml:space="preserve">scope </w:t>
      </w:r>
      <w:r w:rsidR="008F4EDF" w:rsidRPr="00AA44A3">
        <w:rPr>
          <w:rFonts w:ascii="Arial" w:hAnsi="Arial" w:cs="Arial"/>
          <w:sz w:val="22"/>
          <w:szCs w:val="22"/>
        </w:rPr>
        <w:t xml:space="preserve">and market understanding </w:t>
      </w:r>
      <w:r w:rsidRPr="00AA44A3">
        <w:rPr>
          <w:rFonts w:ascii="Arial" w:hAnsi="Arial" w:cs="Arial"/>
          <w:sz w:val="22"/>
          <w:szCs w:val="22"/>
        </w:rPr>
        <w:t xml:space="preserve">of the </w:t>
      </w:r>
      <w:r w:rsidR="008F4EDF" w:rsidRPr="00AA44A3">
        <w:rPr>
          <w:rFonts w:ascii="Arial" w:hAnsi="Arial" w:cs="Arial"/>
          <w:sz w:val="22"/>
          <w:szCs w:val="22"/>
        </w:rPr>
        <w:t>hedging exemption as applicable to</w:t>
      </w:r>
      <w:r w:rsidRPr="00AA44A3">
        <w:rPr>
          <w:rFonts w:ascii="Arial" w:hAnsi="Arial" w:cs="Arial"/>
          <w:sz w:val="22"/>
          <w:szCs w:val="22"/>
        </w:rPr>
        <w:t xml:space="preserve"> virtual PPAs</w:t>
      </w:r>
      <w:r w:rsidR="005836B3" w:rsidRPr="00AA44A3">
        <w:rPr>
          <w:rFonts w:ascii="Arial" w:hAnsi="Arial" w:cs="Arial"/>
          <w:sz w:val="22"/>
          <w:szCs w:val="22"/>
        </w:rPr>
        <w:t xml:space="preserve"> (or otherwise)</w:t>
      </w:r>
      <w:r w:rsidR="00E618C6" w:rsidRPr="00AA44A3">
        <w:rPr>
          <w:rFonts w:ascii="Arial" w:hAnsi="Arial" w:cs="Arial"/>
          <w:sz w:val="22"/>
          <w:szCs w:val="22"/>
        </w:rPr>
        <w:t>.</w:t>
      </w:r>
    </w:p>
    <w:p w14:paraId="332CAB26" w14:textId="1A58CCD0" w:rsidR="007A4523" w:rsidRDefault="00A1372A" w:rsidP="007A7C63">
      <w:pPr>
        <w:jc w:val="both"/>
        <w:rPr>
          <w:rFonts w:ascii="Arial" w:hAnsi="Arial" w:cs="Arial"/>
          <w:sz w:val="22"/>
          <w:szCs w:val="22"/>
        </w:rPr>
      </w:pPr>
      <w:r>
        <w:rPr>
          <w:rFonts w:ascii="Arial" w:hAnsi="Arial" w:cs="Arial"/>
          <w:sz w:val="22"/>
          <w:szCs w:val="22"/>
        </w:rPr>
        <w:t>Based on the above, we would propose the following drafting amendment as a new Article 10(1)(d) of Commission Delegated Regulation (EU) No. 149/2013</w:t>
      </w:r>
      <w:r w:rsidR="00790DFC">
        <w:rPr>
          <w:rFonts w:ascii="Arial" w:hAnsi="Arial" w:cs="Arial"/>
          <w:sz w:val="22"/>
          <w:szCs w:val="22"/>
        </w:rPr>
        <w:t>:</w:t>
      </w:r>
    </w:p>
    <w:p w14:paraId="34BF0017" w14:textId="3F9C7F06" w:rsidR="007A4523" w:rsidRPr="007A4523" w:rsidRDefault="007A4523" w:rsidP="007A4523">
      <w:pPr>
        <w:ind w:left="720" w:hanging="720"/>
        <w:jc w:val="both"/>
        <w:rPr>
          <w:rFonts w:ascii="Arial" w:hAnsi="Arial" w:cs="Arial"/>
          <w:sz w:val="22"/>
          <w:szCs w:val="22"/>
        </w:rPr>
      </w:pPr>
      <w:r w:rsidRPr="007A4523">
        <w:rPr>
          <w:rFonts w:ascii="Arial" w:hAnsi="Arial" w:cs="Arial"/>
          <w:sz w:val="22"/>
          <w:szCs w:val="22"/>
          <w:lang w:val="en-US"/>
        </w:rPr>
        <w:t>"(d)</w:t>
      </w:r>
      <w:r w:rsidRPr="007A4523">
        <w:rPr>
          <w:rFonts w:ascii="Arial" w:hAnsi="Arial" w:cs="Arial"/>
          <w:sz w:val="22"/>
          <w:szCs w:val="22"/>
          <w:lang w:val="en-US"/>
        </w:rPr>
        <w:tab/>
      </w:r>
      <w:r w:rsidRPr="007A4523">
        <w:rPr>
          <w:rFonts w:ascii="Arial" w:hAnsi="Arial" w:cs="Arial"/>
          <w:i/>
          <w:iCs/>
          <w:sz w:val="22"/>
          <w:szCs w:val="22"/>
          <w:lang w:val="en-US"/>
        </w:rPr>
        <w:t>insofar as not otherwise covered by any of the paragraphs above, it is entered into by a non-financial counterparty with another non-financial counterparty and it relates to the virtual supply or purchase of electricity produced from renewable energy sources and relevant environmental attributes.</w:t>
      </w:r>
      <w:r w:rsidRPr="007A4523">
        <w:rPr>
          <w:rFonts w:ascii="Arial" w:hAnsi="Arial" w:cs="Arial"/>
          <w:sz w:val="22"/>
          <w:szCs w:val="22"/>
          <w:lang w:val="en-US"/>
        </w:rPr>
        <w:t>"</w:t>
      </w:r>
    </w:p>
    <w:p w14:paraId="57AE0C66" w14:textId="1DB1455F" w:rsidR="00BA137F" w:rsidRPr="007A4523" w:rsidRDefault="00BA137F" w:rsidP="007A7C63">
      <w:pPr>
        <w:jc w:val="both"/>
        <w:rPr>
          <w:rFonts w:ascii="Arial" w:hAnsi="Arial" w:cs="Arial"/>
          <w:sz w:val="22"/>
          <w:szCs w:val="22"/>
        </w:rPr>
      </w:pPr>
      <w:r w:rsidRPr="00D67CE4">
        <w:rPr>
          <w:rFonts w:ascii="Arial" w:hAnsi="Arial" w:cs="Arial"/>
          <w:b/>
          <w:bCs/>
          <w:sz w:val="22"/>
          <w:szCs w:val="22"/>
        </w:rPr>
        <w:t xml:space="preserve">Question 10:  </w:t>
      </w:r>
      <w:r w:rsidR="007A7C63" w:rsidRPr="007A7C63">
        <w:rPr>
          <w:rFonts w:ascii="Arial" w:hAnsi="Arial" w:cs="Arial"/>
          <w:b/>
          <w:bCs/>
          <w:sz w:val="22"/>
          <w:szCs w:val="22"/>
        </w:rPr>
        <w:t>Do you consider other indicators should be monitored and assessed? If yes,</w:t>
      </w:r>
      <w:r w:rsidR="007A7C63">
        <w:rPr>
          <w:rFonts w:ascii="Arial" w:hAnsi="Arial" w:cs="Arial"/>
          <w:b/>
          <w:bCs/>
          <w:sz w:val="22"/>
          <w:szCs w:val="22"/>
        </w:rPr>
        <w:t xml:space="preserve"> </w:t>
      </w:r>
      <w:r w:rsidR="007A7C63" w:rsidRPr="007A7C63">
        <w:rPr>
          <w:rFonts w:ascii="Arial" w:hAnsi="Arial" w:cs="Arial"/>
          <w:b/>
          <w:bCs/>
          <w:sz w:val="22"/>
          <w:szCs w:val="22"/>
        </w:rPr>
        <w:t xml:space="preserve">please specify and if </w:t>
      </w:r>
      <w:proofErr w:type="gramStart"/>
      <w:r w:rsidR="007A7C63" w:rsidRPr="007A7C63">
        <w:rPr>
          <w:rFonts w:ascii="Arial" w:hAnsi="Arial" w:cs="Arial"/>
          <w:b/>
          <w:bCs/>
          <w:sz w:val="22"/>
          <w:szCs w:val="22"/>
        </w:rPr>
        <w:t>possible</w:t>
      </w:r>
      <w:proofErr w:type="gramEnd"/>
      <w:r w:rsidR="007A7C63" w:rsidRPr="007A7C63">
        <w:rPr>
          <w:rFonts w:ascii="Arial" w:hAnsi="Arial" w:cs="Arial"/>
          <w:b/>
          <w:bCs/>
          <w:sz w:val="22"/>
          <w:szCs w:val="22"/>
        </w:rPr>
        <w:t xml:space="preserve"> provide drafting suggestion.</w:t>
      </w:r>
    </w:p>
    <w:p w14:paraId="3B5A7FFE" w14:textId="36ACF074" w:rsidR="001479E8" w:rsidRDefault="00E50CF3" w:rsidP="007A7C63">
      <w:pPr>
        <w:jc w:val="both"/>
        <w:rPr>
          <w:rFonts w:ascii="Arial" w:hAnsi="Arial" w:cs="Arial"/>
          <w:sz w:val="22"/>
          <w:szCs w:val="22"/>
        </w:rPr>
      </w:pPr>
      <w:r>
        <w:rPr>
          <w:rFonts w:ascii="Arial" w:hAnsi="Arial" w:cs="Arial"/>
          <w:sz w:val="22"/>
          <w:szCs w:val="22"/>
        </w:rPr>
        <w:t xml:space="preserve">We generally agree with the indicators set out in ESMA's proposal. We also </w:t>
      </w:r>
      <w:r w:rsidR="00371B7F">
        <w:rPr>
          <w:rFonts w:ascii="Arial" w:hAnsi="Arial" w:cs="Arial"/>
          <w:sz w:val="22"/>
          <w:szCs w:val="22"/>
        </w:rPr>
        <w:t>note</w:t>
      </w:r>
      <w:r>
        <w:rPr>
          <w:rFonts w:ascii="Arial" w:hAnsi="Arial" w:cs="Arial"/>
          <w:sz w:val="22"/>
          <w:szCs w:val="22"/>
        </w:rPr>
        <w:t xml:space="preserve"> ESMA's position at paragraph 102 of the consultation paper that </w:t>
      </w:r>
      <w:r w:rsidR="00EC1B30">
        <w:rPr>
          <w:rFonts w:ascii="Arial" w:hAnsi="Arial" w:cs="Arial"/>
          <w:sz w:val="22"/>
          <w:szCs w:val="22"/>
        </w:rPr>
        <w:t>it</w:t>
      </w:r>
      <w:r>
        <w:rPr>
          <w:rFonts w:ascii="Arial" w:hAnsi="Arial" w:cs="Arial"/>
          <w:sz w:val="22"/>
          <w:szCs w:val="22"/>
        </w:rPr>
        <w:t xml:space="preserve"> should be able to exercise a certain degree of judgement to determine if there should be any future revision of the </w:t>
      </w:r>
      <w:r w:rsidR="0046684D">
        <w:rPr>
          <w:rFonts w:ascii="Arial" w:hAnsi="Arial" w:cs="Arial"/>
          <w:sz w:val="22"/>
          <w:szCs w:val="22"/>
        </w:rPr>
        <w:t>clearing threshold</w:t>
      </w:r>
      <w:r>
        <w:rPr>
          <w:rFonts w:ascii="Arial" w:hAnsi="Arial" w:cs="Arial"/>
          <w:sz w:val="22"/>
          <w:szCs w:val="22"/>
        </w:rPr>
        <w:t xml:space="preserve">s. In exercising its judgement, we would strongly recommend that ESMA takes into consideration the impact </w:t>
      </w:r>
      <w:r w:rsidR="0046684D">
        <w:rPr>
          <w:rFonts w:ascii="Arial" w:hAnsi="Arial" w:cs="Arial"/>
          <w:sz w:val="22"/>
          <w:szCs w:val="22"/>
        </w:rPr>
        <w:t xml:space="preserve">of amending the clearing thresholds </w:t>
      </w:r>
      <w:r>
        <w:rPr>
          <w:rFonts w:ascii="Arial" w:hAnsi="Arial" w:cs="Arial"/>
          <w:sz w:val="22"/>
          <w:szCs w:val="22"/>
        </w:rPr>
        <w:t>on market participants and</w:t>
      </w:r>
      <w:r w:rsidR="0046684D">
        <w:rPr>
          <w:rFonts w:ascii="Arial" w:hAnsi="Arial" w:cs="Arial"/>
          <w:sz w:val="22"/>
          <w:szCs w:val="22"/>
        </w:rPr>
        <w:t xml:space="preserve"> </w:t>
      </w:r>
      <w:r>
        <w:rPr>
          <w:rFonts w:ascii="Arial" w:hAnsi="Arial" w:cs="Arial"/>
          <w:sz w:val="22"/>
          <w:szCs w:val="22"/>
        </w:rPr>
        <w:t>the market more widely.</w:t>
      </w:r>
      <w:r w:rsidR="00692C9B">
        <w:rPr>
          <w:rFonts w:ascii="Arial" w:hAnsi="Arial" w:cs="Arial"/>
          <w:sz w:val="22"/>
          <w:szCs w:val="22"/>
        </w:rPr>
        <w:t xml:space="preserve"> </w:t>
      </w:r>
    </w:p>
    <w:p w14:paraId="5E44C0F4" w14:textId="625D529D" w:rsidR="00783EAE" w:rsidRDefault="00692C9B" w:rsidP="007A7C63">
      <w:pPr>
        <w:jc w:val="both"/>
        <w:rPr>
          <w:rFonts w:ascii="Arial" w:hAnsi="Arial" w:cs="Arial"/>
          <w:sz w:val="22"/>
          <w:szCs w:val="22"/>
        </w:rPr>
      </w:pPr>
      <w:r>
        <w:rPr>
          <w:rFonts w:ascii="Arial" w:hAnsi="Arial" w:cs="Arial"/>
          <w:sz w:val="22"/>
          <w:szCs w:val="22"/>
        </w:rPr>
        <w:t>We would</w:t>
      </w:r>
      <w:r w:rsidR="006E18B0">
        <w:rPr>
          <w:rFonts w:ascii="Arial" w:hAnsi="Arial" w:cs="Arial"/>
          <w:sz w:val="22"/>
          <w:szCs w:val="22"/>
        </w:rPr>
        <w:t xml:space="preserve"> anticipate </w:t>
      </w:r>
      <w:r>
        <w:rPr>
          <w:rFonts w:ascii="Arial" w:hAnsi="Arial" w:cs="Arial"/>
          <w:sz w:val="22"/>
          <w:szCs w:val="22"/>
        </w:rPr>
        <w:t>that ESMA monitor the thresholds with a view to increasing these</w:t>
      </w:r>
      <w:r w:rsidR="006E18B0">
        <w:rPr>
          <w:rFonts w:ascii="Arial" w:hAnsi="Arial" w:cs="Arial"/>
          <w:sz w:val="22"/>
          <w:szCs w:val="22"/>
        </w:rPr>
        <w:t xml:space="preserve"> </w:t>
      </w:r>
      <w:r>
        <w:rPr>
          <w:rFonts w:ascii="Arial" w:hAnsi="Arial" w:cs="Arial"/>
          <w:sz w:val="22"/>
          <w:szCs w:val="22"/>
        </w:rPr>
        <w:t>in future</w:t>
      </w:r>
      <w:r w:rsidR="00DB70EB">
        <w:rPr>
          <w:rFonts w:ascii="Arial" w:hAnsi="Arial" w:cs="Arial"/>
          <w:sz w:val="22"/>
          <w:szCs w:val="22"/>
        </w:rPr>
        <w:t xml:space="preserve"> as the markets f</w:t>
      </w:r>
      <w:r w:rsidR="00FA3AC3">
        <w:rPr>
          <w:rFonts w:ascii="Arial" w:hAnsi="Arial" w:cs="Arial"/>
          <w:sz w:val="22"/>
          <w:szCs w:val="22"/>
        </w:rPr>
        <w:t>or</w:t>
      </w:r>
      <w:r w:rsidR="00DB70EB">
        <w:rPr>
          <w:rFonts w:ascii="Arial" w:hAnsi="Arial" w:cs="Arial"/>
          <w:sz w:val="22"/>
          <w:szCs w:val="22"/>
        </w:rPr>
        <w:t xml:space="preserve"> each of the asset classes continue to grow</w:t>
      </w:r>
      <w:r w:rsidR="006E18B0">
        <w:rPr>
          <w:rFonts w:ascii="Arial" w:hAnsi="Arial" w:cs="Arial"/>
          <w:sz w:val="22"/>
          <w:szCs w:val="22"/>
        </w:rPr>
        <w:t xml:space="preserve">. We would strongly advise against a reduction in any of the clearing thresholds </w:t>
      </w:r>
      <w:r w:rsidR="00D977F2">
        <w:rPr>
          <w:rFonts w:ascii="Arial" w:hAnsi="Arial" w:cs="Arial"/>
          <w:sz w:val="22"/>
          <w:szCs w:val="22"/>
        </w:rPr>
        <w:t>b</w:t>
      </w:r>
      <w:r>
        <w:rPr>
          <w:rFonts w:ascii="Arial" w:hAnsi="Arial" w:cs="Arial"/>
          <w:sz w:val="22"/>
          <w:szCs w:val="22"/>
        </w:rPr>
        <w:t>ased on the</w:t>
      </w:r>
      <w:r w:rsidR="001479E8">
        <w:rPr>
          <w:rFonts w:ascii="Arial" w:hAnsi="Arial" w:cs="Arial"/>
          <w:sz w:val="22"/>
          <w:szCs w:val="22"/>
        </w:rPr>
        <w:t xml:space="preserve"> </w:t>
      </w:r>
      <w:r w:rsidR="009708FD">
        <w:rPr>
          <w:rFonts w:ascii="Arial" w:hAnsi="Arial" w:cs="Arial"/>
          <w:sz w:val="22"/>
          <w:szCs w:val="22"/>
        </w:rPr>
        <w:t>inevitable</w:t>
      </w:r>
      <w:r w:rsidR="005D6E11">
        <w:rPr>
          <w:rFonts w:ascii="Arial" w:hAnsi="Arial" w:cs="Arial"/>
          <w:sz w:val="22"/>
          <w:szCs w:val="22"/>
        </w:rPr>
        <w:t xml:space="preserve"> and continuing</w:t>
      </w:r>
      <w:r w:rsidR="009708FD">
        <w:rPr>
          <w:rFonts w:ascii="Arial" w:hAnsi="Arial" w:cs="Arial"/>
          <w:sz w:val="22"/>
          <w:szCs w:val="22"/>
        </w:rPr>
        <w:t xml:space="preserve"> </w:t>
      </w:r>
      <w:r w:rsidR="001479E8">
        <w:rPr>
          <w:rFonts w:ascii="Arial" w:hAnsi="Arial" w:cs="Arial"/>
          <w:sz w:val="22"/>
          <w:szCs w:val="22"/>
        </w:rPr>
        <w:t xml:space="preserve">inflationary pressures across markets and </w:t>
      </w:r>
      <w:r w:rsidR="006E18B0">
        <w:rPr>
          <w:rFonts w:ascii="Arial" w:hAnsi="Arial" w:cs="Arial"/>
          <w:sz w:val="22"/>
          <w:szCs w:val="22"/>
        </w:rPr>
        <w:t>in consideration of</w:t>
      </w:r>
      <w:r w:rsidR="001479E8">
        <w:rPr>
          <w:rFonts w:ascii="Arial" w:hAnsi="Arial" w:cs="Arial"/>
          <w:sz w:val="22"/>
          <w:szCs w:val="22"/>
        </w:rPr>
        <w:t xml:space="preserve"> the EU's global competitiveness. Our responses </w:t>
      </w:r>
      <w:r w:rsidR="00300A57">
        <w:rPr>
          <w:rFonts w:ascii="Arial" w:hAnsi="Arial" w:cs="Arial"/>
          <w:sz w:val="22"/>
          <w:szCs w:val="22"/>
        </w:rPr>
        <w:t>to</w:t>
      </w:r>
      <w:r w:rsidR="001479E8">
        <w:rPr>
          <w:rFonts w:ascii="Arial" w:hAnsi="Arial" w:cs="Arial"/>
          <w:sz w:val="22"/>
          <w:szCs w:val="22"/>
        </w:rPr>
        <w:t xml:space="preserve"> Questions 3 and 5 provide significant supporting data </w:t>
      </w:r>
      <w:r w:rsidR="00EA1D58">
        <w:rPr>
          <w:rFonts w:ascii="Arial" w:hAnsi="Arial" w:cs="Arial"/>
          <w:sz w:val="22"/>
          <w:szCs w:val="22"/>
        </w:rPr>
        <w:t xml:space="preserve">and rationale </w:t>
      </w:r>
      <w:r w:rsidR="001479E8">
        <w:rPr>
          <w:rFonts w:ascii="Arial" w:hAnsi="Arial" w:cs="Arial"/>
          <w:sz w:val="22"/>
          <w:szCs w:val="22"/>
        </w:rPr>
        <w:t xml:space="preserve">in this respect. </w:t>
      </w:r>
    </w:p>
    <w:p w14:paraId="7F8D4073" w14:textId="6C1FC079" w:rsidR="00631699" w:rsidRDefault="00631699" w:rsidP="007A7C63">
      <w:pPr>
        <w:jc w:val="both"/>
        <w:rPr>
          <w:rFonts w:ascii="Arial" w:hAnsi="Arial" w:cs="Arial"/>
          <w:sz w:val="22"/>
          <w:szCs w:val="22"/>
        </w:rPr>
      </w:pPr>
      <w:r>
        <w:rPr>
          <w:rFonts w:ascii="Arial" w:hAnsi="Arial" w:cs="Arial"/>
          <w:sz w:val="22"/>
          <w:szCs w:val="22"/>
        </w:rPr>
        <w:t xml:space="preserve">We reiterate the significant </w:t>
      </w:r>
      <w:r w:rsidR="00180712">
        <w:rPr>
          <w:rFonts w:ascii="Arial" w:hAnsi="Arial" w:cs="Arial"/>
          <w:sz w:val="22"/>
          <w:szCs w:val="22"/>
        </w:rPr>
        <w:t>implications, from an operational and costs perspective</w:t>
      </w:r>
      <w:r w:rsidR="008C58DB">
        <w:rPr>
          <w:rFonts w:ascii="Arial" w:hAnsi="Arial" w:cs="Arial"/>
          <w:sz w:val="22"/>
          <w:szCs w:val="22"/>
        </w:rPr>
        <w:t>,</w:t>
      </w:r>
      <w:r w:rsidR="00180712">
        <w:rPr>
          <w:rFonts w:ascii="Arial" w:hAnsi="Arial" w:cs="Arial"/>
          <w:sz w:val="22"/>
          <w:szCs w:val="22"/>
        </w:rPr>
        <w:t xml:space="preserve"> on market participants of breaching these thresholds and </w:t>
      </w:r>
      <w:r>
        <w:rPr>
          <w:rFonts w:ascii="Arial" w:hAnsi="Arial" w:cs="Arial"/>
          <w:sz w:val="22"/>
          <w:szCs w:val="22"/>
        </w:rPr>
        <w:t>bring ESMA's attention to our responses</w:t>
      </w:r>
      <w:r w:rsidR="00180712">
        <w:rPr>
          <w:rFonts w:ascii="Arial" w:hAnsi="Arial" w:cs="Arial"/>
          <w:sz w:val="22"/>
          <w:szCs w:val="22"/>
        </w:rPr>
        <w:t xml:space="preserve"> </w:t>
      </w:r>
      <w:r w:rsidR="00300A57">
        <w:rPr>
          <w:rFonts w:ascii="Arial" w:hAnsi="Arial" w:cs="Arial"/>
          <w:sz w:val="22"/>
          <w:szCs w:val="22"/>
        </w:rPr>
        <w:t>to</w:t>
      </w:r>
      <w:r w:rsidR="00180712">
        <w:rPr>
          <w:rFonts w:ascii="Arial" w:hAnsi="Arial" w:cs="Arial"/>
          <w:sz w:val="22"/>
          <w:szCs w:val="22"/>
        </w:rPr>
        <w:t xml:space="preserve"> Questions 1</w:t>
      </w:r>
      <w:r w:rsidR="00046A3A">
        <w:rPr>
          <w:rFonts w:ascii="Arial" w:hAnsi="Arial" w:cs="Arial"/>
          <w:sz w:val="22"/>
          <w:szCs w:val="22"/>
        </w:rPr>
        <w:t xml:space="preserve"> and </w:t>
      </w:r>
      <w:r w:rsidR="00180712">
        <w:rPr>
          <w:rFonts w:ascii="Arial" w:hAnsi="Arial" w:cs="Arial"/>
          <w:sz w:val="22"/>
          <w:szCs w:val="22"/>
        </w:rPr>
        <w:t xml:space="preserve">3 </w:t>
      </w:r>
      <w:r w:rsidR="00046A3A">
        <w:rPr>
          <w:rFonts w:ascii="Arial" w:hAnsi="Arial" w:cs="Arial"/>
          <w:sz w:val="22"/>
          <w:szCs w:val="22"/>
        </w:rPr>
        <w:t xml:space="preserve">which emphasise </w:t>
      </w:r>
      <w:r w:rsidR="008C58DB">
        <w:rPr>
          <w:rFonts w:ascii="Arial" w:hAnsi="Arial" w:cs="Arial"/>
          <w:sz w:val="22"/>
          <w:szCs w:val="22"/>
        </w:rPr>
        <w:t>this.</w:t>
      </w:r>
    </w:p>
    <w:p w14:paraId="5A1C8717" w14:textId="1AE2F528" w:rsidR="00046A3A" w:rsidRDefault="00046A3A" w:rsidP="007A7C63">
      <w:pPr>
        <w:jc w:val="both"/>
        <w:rPr>
          <w:rFonts w:ascii="Arial" w:hAnsi="Arial" w:cs="Arial"/>
          <w:sz w:val="22"/>
          <w:szCs w:val="22"/>
        </w:rPr>
      </w:pPr>
      <w:r>
        <w:rPr>
          <w:rFonts w:ascii="Arial" w:hAnsi="Arial" w:cs="Arial"/>
          <w:sz w:val="22"/>
          <w:szCs w:val="22"/>
        </w:rPr>
        <w:t>We also note that there is precedent within EMIR itself to consider the impact of regulation on the market and its participants including at Article</w:t>
      </w:r>
      <w:r w:rsidR="00AE392A">
        <w:rPr>
          <w:rFonts w:ascii="Arial" w:hAnsi="Arial" w:cs="Arial"/>
          <w:sz w:val="22"/>
          <w:szCs w:val="22"/>
        </w:rPr>
        <w:t xml:space="preserve"> 89(3c) where ESMA is able extend the adaptation period for compliance</w:t>
      </w:r>
      <w:r w:rsidR="00865E49">
        <w:rPr>
          <w:rFonts w:ascii="Arial" w:hAnsi="Arial" w:cs="Arial"/>
          <w:sz w:val="22"/>
          <w:szCs w:val="22"/>
        </w:rPr>
        <w:t xml:space="preserve"> following the classification of a CCP as a Tier 2 CCP</w:t>
      </w:r>
      <w:r w:rsidR="00AE392A">
        <w:rPr>
          <w:rFonts w:ascii="Arial" w:hAnsi="Arial" w:cs="Arial"/>
          <w:sz w:val="22"/>
          <w:szCs w:val="22"/>
        </w:rPr>
        <w:t xml:space="preserve"> based on the impact on clearing members</w:t>
      </w:r>
      <w:r w:rsidR="00865E49">
        <w:rPr>
          <w:rFonts w:ascii="Arial" w:hAnsi="Arial" w:cs="Arial"/>
          <w:sz w:val="22"/>
          <w:szCs w:val="22"/>
        </w:rPr>
        <w:t>.</w:t>
      </w:r>
      <w:r w:rsidR="00AE392A">
        <w:rPr>
          <w:rFonts w:ascii="Arial" w:hAnsi="Arial" w:cs="Arial"/>
          <w:sz w:val="22"/>
          <w:szCs w:val="22"/>
        </w:rPr>
        <w:t xml:space="preserve"> </w:t>
      </w:r>
    </w:p>
    <w:p w14:paraId="456A2544" w14:textId="581854FF" w:rsidR="00046A3A" w:rsidRDefault="00046A3A" w:rsidP="007A7C63">
      <w:pPr>
        <w:jc w:val="both"/>
        <w:rPr>
          <w:rFonts w:ascii="Arial" w:hAnsi="Arial" w:cs="Arial"/>
          <w:sz w:val="22"/>
          <w:szCs w:val="22"/>
        </w:rPr>
      </w:pPr>
      <w:r>
        <w:rPr>
          <w:rFonts w:ascii="Arial" w:hAnsi="Arial" w:cs="Arial"/>
          <w:sz w:val="22"/>
          <w:szCs w:val="22"/>
        </w:rPr>
        <w:t>We would therefore recommend amending the drafting of the proposed Article 11b to include the below language in bold:</w:t>
      </w:r>
    </w:p>
    <w:p w14:paraId="02F5BC9B" w14:textId="4DEB5E3C" w:rsidR="00046A3A" w:rsidRPr="009C724B" w:rsidRDefault="00046A3A" w:rsidP="007A7C63">
      <w:pPr>
        <w:jc w:val="both"/>
        <w:rPr>
          <w:rFonts w:ascii="Arial" w:hAnsi="Arial" w:cs="Arial"/>
          <w:i/>
          <w:iCs/>
          <w:sz w:val="22"/>
          <w:szCs w:val="22"/>
        </w:rPr>
      </w:pPr>
      <w:r w:rsidRPr="009C724B">
        <w:rPr>
          <w:rFonts w:ascii="Arial" w:hAnsi="Arial" w:cs="Arial"/>
          <w:i/>
          <w:iCs/>
          <w:sz w:val="22"/>
          <w:szCs w:val="22"/>
        </w:rPr>
        <w:t>The mechanisms triggering a review</w:t>
      </w:r>
      <w:r w:rsidR="004132C5" w:rsidRPr="009C724B">
        <w:rPr>
          <w:rFonts w:ascii="Arial" w:hAnsi="Arial" w:cs="Arial"/>
          <w:i/>
          <w:iCs/>
          <w:sz w:val="22"/>
          <w:szCs w:val="22"/>
        </w:rPr>
        <w:t xml:space="preserve"> of the value of the clearing thresholds shall include the identification of a significant change in the following indicators:</w:t>
      </w:r>
    </w:p>
    <w:p w14:paraId="42203FAF" w14:textId="216A322D" w:rsidR="004132C5" w:rsidRPr="009C724B" w:rsidRDefault="004132C5" w:rsidP="007A7C63">
      <w:pPr>
        <w:jc w:val="both"/>
        <w:rPr>
          <w:rFonts w:ascii="Arial" w:hAnsi="Arial" w:cs="Arial"/>
          <w:i/>
          <w:iCs/>
          <w:sz w:val="22"/>
          <w:szCs w:val="22"/>
        </w:rPr>
      </w:pPr>
      <w:r w:rsidRPr="009C724B">
        <w:rPr>
          <w:rFonts w:ascii="Arial" w:hAnsi="Arial" w:cs="Arial"/>
          <w:i/>
          <w:iCs/>
          <w:sz w:val="22"/>
          <w:szCs w:val="22"/>
        </w:rPr>
        <w:t>(a) the fluctuations of prices in the underlying of OTC credit derivatives, OTC equity derivatives, OTC interest rate derivatives, OTC foreign exchange derivatives or OTC commodity derivatives and OTC emission allowance derivatives; and</w:t>
      </w:r>
    </w:p>
    <w:p w14:paraId="6F78CC59" w14:textId="398F28ED" w:rsidR="004132C5" w:rsidRDefault="004132C5" w:rsidP="007A7C63">
      <w:pPr>
        <w:jc w:val="both"/>
        <w:rPr>
          <w:rFonts w:ascii="Arial" w:hAnsi="Arial" w:cs="Arial"/>
          <w:i/>
          <w:iCs/>
          <w:sz w:val="22"/>
          <w:szCs w:val="22"/>
        </w:rPr>
      </w:pPr>
      <w:r w:rsidRPr="009C724B">
        <w:rPr>
          <w:rFonts w:ascii="Arial" w:hAnsi="Arial" w:cs="Arial"/>
          <w:i/>
          <w:iCs/>
          <w:sz w:val="22"/>
          <w:szCs w:val="22"/>
        </w:rPr>
        <w:t>(b) the evolution of the inflation rate, of the global financial conditions, or of the geopolitical and economic policy uncertainties.</w:t>
      </w:r>
    </w:p>
    <w:p w14:paraId="4673C90B" w14:textId="2CC1AC20" w:rsidR="00C3172A" w:rsidRPr="003C3453" w:rsidRDefault="009C724B" w:rsidP="00D22D04">
      <w:pPr>
        <w:jc w:val="both"/>
        <w:rPr>
          <w:rFonts w:ascii="Arial" w:hAnsi="Arial" w:cs="Arial"/>
          <w:b/>
          <w:bCs/>
          <w:i/>
          <w:iCs/>
          <w:sz w:val="22"/>
          <w:szCs w:val="22"/>
        </w:rPr>
      </w:pPr>
      <w:r>
        <w:rPr>
          <w:rFonts w:ascii="Arial" w:hAnsi="Arial" w:cs="Arial"/>
          <w:b/>
          <w:bCs/>
          <w:i/>
          <w:iCs/>
          <w:sz w:val="22"/>
          <w:szCs w:val="22"/>
        </w:rPr>
        <w:lastRenderedPageBreak/>
        <w:t>Whe</w:t>
      </w:r>
      <w:r w:rsidR="009F5C40">
        <w:rPr>
          <w:rFonts w:ascii="Arial" w:hAnsi="Arial" w:cs="Arial"/>
          <w:b/>
          <w:bCs/>
          <w:i/>
          <w:iCs/>
          <w:sz w:val="22"/>
          <w:szCs w:val="22"/>
        </w:rPr>
        <w:t>re</w:t>
      </w:r>
      <w:r>
        <w:rPr>
          <w:rFonts w:ascii="Arial" w:hAnsi="Arial" w:cs="Arial"/>
          <w:b/>
          <w:bCs/>
          <w:i/>
          <w:iCs/>
          <w:sz w:val="22"/>
          <w:szCs w:val="22"/>
        </w:rPr>
        <w:t>, f</w:t>
      </w:r>
      <w:r w:rsidR="009F5C40">
        <w:rPr>
          <w:rFonts w:ascii="Arial" w:hAnsi="Arial" w:cs="Arial"/>
          <w:b/>
          <w:bCs/>
          <w:i/>
          <w:iCs/>
          <w:sz w:val="22"/>
          <w:szCs w:val="22"/>
        </w:rPr>
        <w:t xml:space="preserve">ollowing </w:t>
      </w:r>
      <w:r>
        <w:rPr>
          <w:rFonts w:ascii="Arial" w:hAnsi="Arial" w:cs="Arial"/>
          <w:b/>
          <w:bCs/>
          <w:i/>
          <w:iCs/>
          <w:sz w:val="22"/>
          <w:szCs w:val="22"/>
        </w:rPr>
        <w:t xml:space="preserve">a review of the mechanisms </w:t>
      </w:r>
      <w:r w:rsidR="009F5C40">
        <w:rPr>
          <w:rFonts w:ascii="Arial" w:hAnsi="Arial" w:cs="Arial"/>
          <w:b/>
          <w:bCs/>
          <w:i/>
          <w:iCs/>
          <w:sz w:val="22"/>
          <w:szCs w:val="22"/>
        </w:rPr>
        <w:t xml:space="preserve">pursuant to the first </w:t>
      </w:r>
      <w:r>
        <w:rPr>
          <w:rFonts w:ascii="Arial" w:hAnsi="Arial" w:cs="Arial"/>
          <w:b/>
          <w:bCs/>
          <w:i/>
          <w:iCs/>
          <w:sz w:val="22"/>
          <w:szCs w:val="22"/>
        </w:rPr>
        <w:t xml:space="preserve">subparagraph of this paragraph, ESMA </w:t>
      </w:r>
      <w:r w:rsidR="009F5C40">
        <w:rPr>
          <w:rFonts w:ascii="Arial" w:hAnsi="Arial" w:cs="Arial"/>
          <w:b/>
          <w:bCs/>
          <w:i/>
          <w:iCs/>
          <w:sz w:val="22"/>
          <w:szCs w:val="22"/>
        </w:rPr>
        <w:t xml:space="preserve">determines that a </w:t>
      </w:r>
      <w:r w:rsidR="009F724F">
        <w:rPr>
          <w:rFonts w:ascii="Arial" w:hAnsi="Arial" w:cs="Arial"/>
          <w:b/>
          <w:bCs/>
          <w:i/>
          <w:iCs/>
          <w:sz w:val="22"/>
          <w:szCs w:val="22"/>
        </w:rPr>
        <w:t>review of</w:t>
      </w:r>
      <w:r w:rsidR="009F5C40">
        <w:rPr>
          <w:rFonts w:ascii="Arial" w:hAnsi="Arial" w:cs="Arial"/>
          <w:b/>
          <w:bCs/>
          <w:i/>
          <w:iCs/>
          <w:sz w:val="22"/>
          <w:szCs w:val="22"/>
        </w:rPr>
        <w:t xml:space="preserve"> the value of the clearing thresholds is required,</w:t>
      </w:r>
      <w:r w:rsidR="009F724F">
        <w:rPr>
          <w:rFonts w:ascii="Arial" w:hAnsi="Arial" w:cs="Arial"/>
          <w:b/>
          <w:bCs/>
          <w:i/>
          <w:iCs/>
          <w:sz w:val="22"/>
          <w:szCs w:val="22"/>
        </w:rPr>
        <w:t xml:space="preserve"> as part of such review and any revision to the clearing thresholds,</w:t>
      </w:r>
      <w:r w:rsidR="009F5C40">
        <w:rPr>
          <w:rFonts w:ascii="Arial" w:hAnsi="Arial" w:cs="Arial"/>
          <w:b/>
          <w:bCs/>
          <w:i/>
          <w:iCs/>
          <w:sz w:val="22"/>
          <w:szCs w:val="22"/>
        </w:rPr>
        <w:t xml:space="preserve"> ESMA shall consider the impact to the affected markets in the Union of </w:t>
      </w:r>
      <w:r w:rsidR="00F92EDC">
        <w:rPr>
          <w:rFonts w:ascii="Arial" w:hAnsi="Arial" w:cs="Arial"/>
          <w:b/>
          <w:bCs/>
          <w:i/>
          <w:iCs/>
          <w:sz w:val="22"/>
          <w:szCs w:val="22"/>
        </w:rPr>
        <w:t xml:space="preserve">revising the clearing thresholds for </w:t>
      </w:r>
      <w:r w:rsidR="00EB54E7">
        <w:rPr>
          <w:rFonts w:ascii="Arial" w:hAnsi="Arial" w:cs="Arial"/>
          <w:b/>
          <w:bCs/>
          <w:i/>
          <w:iCs/>
          <w:sz w:val="22"/>
          <w:szCs w:val="22"/>
        </w:rPr>
        <w:t xml:space="preserve">either or both </w:t>
      </w:r>
      <w:r w:rsidR="00F92EDC">
        <w:rPr>
          <w:rFonts w:ascii="Arial" w:hAnsi="Arial" w:cs="Arial"/>
          <w:b/>
          <w:bCs/>
          <w:i/>
          <w:iCs/>
          <w:sz w:val="22"/>
          <w:szCs w:val="22"/>
        </w:rPr>
        <w:t>aggregate and uncleared positions</w:t>
      </w:r>
      <w:r w:rsidR="009F5C40">
        <w:rPr>
          <w:rFonts w:ascii="Arial" w:hAnsi="Arial" w:cs="Arial"/>
          <w:b/>
          <w:bCs/>
          <w:i/>
          <w:iCs/>
          <w:sz w:val="22"/>
          <w:szCs w:val="22"/>
        </w:rPr>
        <w:t xml:space="preserve">. </w:t>
      </w:r>
    </w:p>
    <w:sectPr w:rsidR="00C3172A" w:rsidRPr="003C34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1C714" w14:textId="77777777" w:rsidR="000F26EF" w:rsidRDefault="000F26EF" w:rsidP="00D22D04">
      <w:pPr>
        <w:spacing w:after="0" w:line="240" w:lineRule="auto"/>
      </w:pPr>
      <w:r>
        <w:separator/>
      </w:r>
    </w:p>
  </w:endnote>
  <w:endnote w:type="continuationSeparator" w:id="0">
    <w:p w14:paraId="19ED828E" w14:textId="77777777" w:rsidR="000F26EF" w:rsidRDefault="000F26EF" w:rsidP="00D2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1171" w14:textId="77777777" w:rsidR="002879BF" w:rsidRDefault="0028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47840"/>
      <w:docPartObj>
        <w:docPartGallery w:val="Page Numbers (Bottom of Page)"/>
        <w:docPartUnique/>
      </w:docPartObj>
    </w:sdtPr>
    <w:sdtEndPr>
      <w:rPr>
        <w:sz w:val="20"/>
        <w:szCs w:val="20"/>
      </w:rPr>
    </w:sdtEndPr>
    <w:sdtContent>
      <w:p w14:paraId="0EFB2954" w14:textId="05038A54" w:rsidR="009B3A42" w:rsidRPr="009B3A42" w:rsidRDefault="009B3A42">
        <w:pPr>
          <w:pStyle w:val="Footer"/>
          <w:jc w:val="right"/>
          <w:rPr>
            <w:sz w:val="20"/>
            <w:szCs w:val="20"/>
          </w:rPr>
        </w:pPr>
        <w:r w:rsidRPr="009B3A42">
          <w:rPr>
            <w:sz w:val="20"/>
            <w:szCs w:val="20"/>
          </w:rPr>
          <w:fldChar w:fldCharType="begin"/>
        </w:r>
        <w:r w:rsidRPr="009B3A42">
          <w:rPr>
            <w:sz w:val="20"/>
            <w:szCs w:val="20"/>
          </w:rPr>
          <w:instrText>PAGE   \* MERGEFORMAT</w:instrText>
        </w:r>
        <w:r w:rsidRPr="009B3A42">
          <w:rPr>
            <w:sz w:val="20"/>
            <w:szCs w:val="20"/>
          </w:rPr>
          <w:fldChar w:fldCharType="separate"/>
        </w:r>
        <w:r w:rsidRPr="009B3A42">
          <w:rPr>
            <w:sz w:val="20"/>
            <w:szCs w:val="20"/>
          </w:rPr>
          <w:t>2</w:t>
        </w:r>
        <w:r w:rsidRPr="009B3A42">
          <w:rPr>
            <w:sz w:val="20"/>
            <w:szCs w:val="20"/>
          </w:rPr>
          <w:fldChar w:fldCharType="end"/>
        </w:r>
      </w:p>
    </w:sdtContent>
  </w:sdt>
  <w:p w14:paraId="6430BF8B" w14:textId="77777777" w:rsidR="009B3A42" w:rsidRDefault="009B3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285F" w14:textId="77777777" w:rsidR="002879BF" w:rsidRDefault="0028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811CF" w14:textId="77777777" w:rsidR="000F26EF" w:rsidRDefault="000F26EF" w:rsidP="00D22D04">
      <w:pPr>
        <w:spacing w:after="0" w:line="240" w:lineRule="auto"/>
      </w:pPr>
      <w:r>
        <w:separator/>
      </w:r>
    </w:p>
  </w:footnote>
  <w:footnote w:type="continuationSeparator" w:id="0">
    <w:p w14:paraId="78EE9ABC" w14:textId="77777777" w:rsidR="000F26EF" w:rsidRDefault="000F26EF" w:rsidP="00D22D04">
      <w:pPr>
        <w:spacing w:after="0" w:line="240" w:lineRule="auto"/>
      </w:pPr>
      <w:r>
        <w:continuationSeparator/>
      </w:r>
    </w:p>
  </w:footnote>
  <w:footnote w:id="1">
    <w:p w14:paraId="5CB7EF20" w14:textId="590195B3" w:rsidR="00AF63B7" w:rsidRDefault="00AF63B7" w:rsidP="00AF63B7">
      <w:pPr>
        <w:pStyle w:val="FootnoteText"/>
      </w:pPr>
      <w:r>
        <w:rPr>
          <w:rStyle w:val="FootnoteReference"/>
        </w:rPr>
        <w:footnoteRef/>
      </w:r>
      <w:r>
        <w:t xml:space="preserve"> </w:t>
      </w:r>
      <w:r w:rsidR="00D2315C">
        <w:rPr>
          <w:rFonts w:cs="Arial"/>
        </w:rPr>
        <w:t>We appreciate that</w:t>
      </w:r>
      <w:r w:rsidR="005D5C5A">
        <w:rPr>
          <w:rFonts w:cs="Arial"/>
        </w:rPr>
        <w:t xml:space="preserve"> </w:t>
      </w:r>
      <w:r w:rsidR="002C695B">
        <w:rPr>
          <w:rFonts w:cs="Arial"/>
        </w:rPr>
        <w:t xml:space="preserve">the timeframe for making calculations </w:t>
      </w:r>
      <w:r w:rsidR="00BF5108">
        <w:rPr>
          <w:rFonts w:cs="Arial"/>
        </w:rPr>
        <w:t>may</w:t>
      </w:r>
      <w:r w:rsidR="002C695B">
        <w:rPr>
          <w:rFonts w:cs="Arial"/>
        </w:rPr>
        <w:t xml:space="preserve"> vary for </w:t>
      </w:r>
      <w:r w:rsidR="00D2315C">
        <w:rPr>
          <w:rFonts w:cs="Arial"/>
        </w:rPr>
        <w:t>a</w:t>
      </w:r>
      <w:r w:rsidR="005D5C5A">
        <w:rPr>
          <w:rFonts w:cs="Arial"/>
        </w:rPr>
        <w:t xml:space="preserve">ny entity established after 17 June </w:t>
      </w:r>
      <w:r w:rsidR="002C695B">
        <w:rPr>
          <w:rFonts w:cs="Arial"/>
        </w:rPr>
        <w:t>2019.</w:t>
      </w:r>
    </w:p>
  </w:footnote>
  <w:footnote w:id="2">
    <w:p w14:paraId="388A8256" w14:textId="35666D43" w:rsidR="00042078" w:rsidRDefault="00042078">
      <w:pPr>
        <w:pStyle w:val="FootnoteText"/>
      </w:pPr>
      <w:r>
        <w:rPr>
          <w:rStyle w:val="FootnoteReference"/>
        </w:rPr>
        <w:footnoteRef/>
      </w:r>
      <w:r>
        <w:t xml:space="preserve"> See the </w:t>
      </w:r>
      <w:hyperlink r:id="rId1" w:history="1">
        <w:r w:rsidRPr="00FB1435">
          <w:rPr>
            <w:rStyle w:val="Hyperlink"/>
          </w:rPr>
          <w:t>Report on the review of the clearing thresholds</w:t>
        </w:r>
      </w:hyperlink>
      <w:r>
        <w:t xml:space="preserve"> published on 28 September 2022.</w:t>
      </w:r>
    </w:p>
  </w:footnote>
  <w:footnote w:id="3">
    <w:p w14:paraId="140B1B52" w14:textId="2DB60249" w:rsidR="00BE287E" w:rsidRDefault="00BE287E" w:rsidP="00BE287E">
      <w:pPr>
        <w:pStyle w:val="FootnoteText"/>
      </w:pPr>
      <w:r>
        <w:rPr>
          <w:rStyle w:val="FootnoteReference"/>
        </w:rPr>
        <w:footnoteRef/>
      </w:r>
      <w:r>
        <w:t xml:space="preserve"> </w:t>
      </w:r>
      <w:r w:rsidRPr="00C162B8">
        <w:t xml:space="preserve">Frontier Economics, </w:t>
      </w:r>
      <w:hyperlink r:id="rId2" w:history="1">
        <w:r w:rsidRPr="00C162B8">
          <w:rPr>
            <w:rStyle w:val="Hyperlink"/>
          </w:rPr>
          <w:t>Review of the EMIR Clearing Thresholds for Commodities (CTT)</w:t>
        </w:r>
      </w:hyperlink>
      <w:r w:rsidRPr="00C162B8">
        <w:t>, May 2022 (</w:t>
      </w:r>
      <w:r>
        <w:t>pages 5, 58)</w:t>
      </w:r>
      <w:r w:rsidRPr="00C162B8">
        <w:t>.</w:t>
      </w:r>
    </w:p>
  </w:footnote>
  <w:footnote w:id="4">
    <w:p w14:paraId="1CE5AF2D" w14:textId="1B249CD5" w:rsidR="00480097" w:rsidRDefault="00480097">
      <w:pPr>
        <w:pStyle w:val="FootnoteText"/>
      </w:pPr>
      <w:r>
        <w:rPr>
          <w:rStyle w:val="FootnoteReference"/>
        </w:rPr>
        <w:footnoteRef/>
      </w:r>
      <w:r>
        <w:t xml:space="preserve"> Joint Energy Associations Group position paper, </w:t>
      </w:r>
      <w:hyperlink r:id="rId3" w:history="1">
        <w:r w:rsidRPr="00D612C3">
          <w:rPr>
            <w:rStyle w:val="Hyperlink"/>
          </w:rPr>
          <w:t>Efficient ESMA level 2 measures are needed to achieve EMIR 3.0 goals for resilient markets</w:t>
        </w:r>
      </w:hyperlink>
      <w:r>
        <w:t xml:space="preserve"> (paragraph 1.2, page 4)</w:t>
      </w:r>
    </w:p>
  </w:footnote>
  <w:footnote w:id="5">
    <w:p w14:paraId="01DC7E36" w14:textId="2268ED71" w:rsidR="00C162B8" w:rsidRDefault="00C162B8">
      <w:pPr>
        <w:pStyle w:val="FootnoteText"/>
      </w:pPr>
      <w:r>
        <w:rPr>
          <w:rStyle w:val="FootnoteReference"/>
        </w:rPr>
        <w:footnoteRef/>
      </w:r>
      <w:r>
        <w:t xml:space="preserve"> </w:t>
      </w:r>
      <w:r w:rsidRPr="00C162B8">
        <w:t xml:space="preserve">Frontier Economics, </w:t>
      </w:r>
      <w:hyperlink r:id="rId4" w:history="1">
        <w:r w:rsidRPr="00C162B8">
          <w:rPr>
            <w:rStyle w:val="Hyperlink"/>
          </w:rPr>
          <w:t>Review of the EMIR Clearing Thresholds for Commodities (CTT)</w:t>
        </w:r>
      </w:hyperlink>
      <w:r w:rsidRPr="00C162B8">
        <w:t>, May 2022 (</w:t>
      </w:r>
      <w:r w:rsidR="00962E04">
        <w:t>page 5</w:t>
      </w:r>
      <w:r w:rsidRPr="00C162B8">
        <w:t>)</w:t>
      </w:r>
    </w:p>
  </w:footnote>
  <w:footnote w:id="6">
    <w:p w14:paraId="0B61AC4A" w14:textId="75E3248F" w:rsidR="003C539D" w:rsidRDefault="003C539D">
      <w:pPr>
        <w:pStyle w:val="FootnoteText"/>
      </w:pPr>
      <w:r>
        <w:rPr>
          <w:rStyle w:val="FootnoteReference"/>
        </w:rPr>
        <w:footnoteRef/>
      </w:r>
      <w:r>
        <w:t xml:space="preserve"> Luther, </w:t>
      </w:r>
      <w:hyperlink r:id="rId5" w:history="1">
        <w:r w:rsidRPr="003C539D">
          <w:rPr>
            <w:rStyle w:val="Hyperlink"/>
          </w:rPr>
          <w:t>Memorandum on commodity derivative clearing under EMIR</w:t>
        </w:r>
      </w:hyperlink>
      <w:r>
        <w:t>, Oct 2021 (page 4)</w:t>
      </w:r>
    </w:p>
  </w:footnote>
  <w:footnote w:id="7">
    <w:p w14:paraId="60728E9A" w14:textId="79EDAB9F" w:rsidR="00F40AE2" w:rsidRDefault="00F40AE2">
      <w:pPr>
        <w:pStyle w:val="FootnoteText"/>
      </w:pPr>
      <w:r>
        <w:rPr>
          <w:rStyle w:val="FootnoteReference"/>
        </w:rPr>
        <w:footnoteRef/>
      </w:r>
      <w:r>
        <w:t xml:space="preserve"> </w:t>
      </w:r>
      <w:r w:rsidRPr="00F40AE2">
        <w:t xml:space="preserve">Frontier Economics, Luther, </w:t>
      </w:r>
      <w:hyperlink r:id="rId6" w:history="1">
        <w:r w:rsidRPr="00F40AE2">
          <w:rPr>
            <w:rStyle w:val="Hyperlink"/>
          </w:rPr>
          <w:t>Principles of Energy Market Regulation - Securing Efficient &amp; Resilient Energy Trading</w:t>
        </w:r>
      </w:hyperlink>
      <w:r w:rsidRPr="00F40AE2">
        <w:t xml:space="preserve"> (pages 193 – 195)</w:t>
      </w:r>
    </w:p>
  </w:footnote>
  <w:footnote w:id="8">
    <w:p w14:paraId="114F85F4" w14:textId="61C1BA6C" w:rsidR="003E199C" w:rsidRDefault="003E199C">
      <w:pPr>
        <w:pStyle w:val="FootnoteText"/>
      </w:pPr>
      <w:r>
        <w:rPr>
          <w:rStyle w:val="FootnoteReference"/>
        </w:rPr>
        <w:footnoteRef/>
      </w:r>
      <w:r>
        <w:t xml:space="preserve"> </w:t>
      </w:r>
      <w:r w:rsidR="00EC728A" w:rsidRPr="00EC728A">
        <w:t xml:space="preserve">Federal register p. 56666-56693, </w:t>
      </w:r>
      <w:hyperlink r:id="rId7" w:history="1">
        <w:r w:rsidR="00EC728A" w:rsidRPr="00EC728A">
          <w:rPr>
            <w:rStyle w:val="Hyperlink"/>
          </w:rPr>
          <w:t>De Minimis Exception to the Swap Dealer Definition – A Rule by the Commodity Futures Trading Commission</w:t>
        </w:r>
      </w:hyperlink>
      <w:r w:rsidR="00EC728A" w:rsidRPr="00EC728A">
        <w:t>, November 2018</w:t>
      </w:r>
      <w:r w:rsidR="00AC3797">
        <w:t xml:space="preserve"> (C. Final Rule and Commission Response, Paragraph </w:t>
      </w:r>
      <w:r w:rsidR="007C6A13">
        <w:t>1</w:t>
      </w:r>
      <w:r w:rsidR="00AC3797">
        <w:t>)</w:t>
      </w:r>
    </w:p>
  </w:footnote>
  <w:footnote w:id="9">
    <w:p w14:paraId="194AFF03" w14:textId="69F2E50F" w:rsidR="003C539D" w:rsidRDefault="003C539D">
      <w:pPr>
        <w:pStyle w:val="FootnoteText"/>
      </w:pPr>
      <w:r>
        <w:rPr>
          <w:rStyle w:val="FootnoteReference"/>
        </w:rPr>
        <w:footnoteRef/>
      </w:r>
      <w:r>
        <w:t xml:space="preserve"> Luther, </w:t>
      </w:r>
      <w:hyperlink r:id="rId8" w:history="1">
        <w:r w:rsidRPr="003C539D">
          <w:rPr>
            <w:rStyle w:val="Hyperlink"/>
          </w:rPr>
          <w:t>Memorandum on commodity derivative clearing under EMIR</w:t>
        </w:r>
      </w:hyperlink>
      <w:r>
        <w:t>, Oct 2021 (page 4)</w:t>
      </w:r>
    </w:p>
  </w:footnote>
  <w:footnote w:id="10">
    <w:p w14:paraId="789D0923" w14:textId="1243C1B1" w:rsidR="009E528D" w:rsidRDefault="009E528D">
      <w:pPr>
        <w:pStyle w:val="FootnoteText"/>
      </w:pPr>
      <w:r>
        <w:rPr>
          <w:rStyle w:val="FootnoteReference"/>
        </w:rPr>
        <w:footnoteRef/>
      </w:r>
      <w:r>
        <w:t xml:space="preserve"> </w:t>
      </w:r>
      <w:r w:rsidRPr="009E528D">
        <w:t xml:space="preserve">ESMA, </w:t>
      </w:r>
      <w:hyperlink r:id="rId9" w:history="1">
        <w:r w:rsidRPr="009E528D">
          <w:rPr>
            <w:rStyle w:val="Hyperlink"/>
          </w:rPr>
          <w:t>Building more effective and attractive capital markets in the EU</w:t>
        </w:r>
      </w:hyperlink>
      <w:r w:rsidRPr="009E528D">
        <w:t>, June 2024 (Recommendation 20)</w:t>
      </w:r>
    </w:p>
  </w:footnote>
  <w:footnote w:id="11">
    <w:p w14:paraId="402A9A8B" w14:textId="340C096F" w:rsidR="00117683" w:rsidRDefault="00117683">
      <w:pPr>
        <w:pStyle w:val="FootnoteText"/>
      </w:pPr>
      <w:r>
        <w:rPr>
          <w:rStyle w:val="FootnoteReference"/>
        </w:rPr>
        <w:footnoteRef/>
      </w:r>
      <w:r>
        <w:t xml:space="preserve"> </w:t>
      </w:r>
      <w:r w:rsidRPr="00C162B8">
        <w:t xml:space="preserve">Frontier Economics, </w:t>
      </w:r>
      <w:hyperlink r:id="rId10" w:history="1">
        <w:r w:rsidRPr="00C162B8">
          <w:rPr>
            <w:rStyle w:val="Hyperlink"/>
          </w:rPr>
          <w:t>Review of the EMIR Clearing Thresholds for Commodities (CTT)</w:t>
        </w:r>
      </w:hyperlink>
      <w:r w:rsidRPr="00C162B8">
        <w:t>, May 2022</w:t>
      </w:r>
      <w:r>
        <w:t xml:space="preserve"> (page</w:t>
      </w:r>
      <w:r w:rsidR="00F6392D">
        <w:t>s</w:t>
      </w:r>
      <w:r>
        <w:t xml:space="preserve"> 45</w:t>
      </w:r>
      <w:r w:rsidR="00F6392D">
        <w:t xml:space="preserve"> - 47</w:t>
      </w:r>
      <w:r>
        <w:t>)</w:t>
      </w:r>
    </w:p>
  </w:footnote>
  <w:footnote w:id="12">
    <w:p w14:paraId="1C2A4203" w14:textId="5DCEBC71" w:rsidR="002D1BFF" w:rsidRDefault="002D1BFF">
      <w:pPr>
        <w:pStyle w:val="FootnoteText"/>
      </w:pPr>
      <w:r>
        <w:rPr>
          <w:rStyle w:val="FootnoteReference"/>
        </w:rPr>
        <w:footnoteRef/>
      </w:r>
      <w:r>
        <w:t xml:space="preserve"> J</w:t>
      </w:r>
      <w:r w:rsidR="00D612C3">
        <w:t xml:space="preserve">oint </w:t>
      </w:r>
      <w:r>
        <w:t>E</w:t>
      </w:r>
      <w:r w:rsidR="00D612C3">
        <w:t xml:space="preserve">nergy </w:t>
      </w:r>
      <w:r>
        <w:t>A</w:t>
      </w:r>
      <w:r w:rsidR="00D612C3">
        <w:t xml:space="preserve">ssociations </w:t>
      </w:r>
      <w:r>
        <w:t>G</w:t>
      </w:r>
      <w:r w:rsidR="00D612C3">
        <w:t>roup position</w:t>
      </w:r>
      <w:r>
        <w:t xml:space="preserve"> paper</w:t>
      </w:r>
      <w:r w:rsidR="00D612C3">
        <w:t xml:space="preserve">, </w:t>
      </w:r>
      <w:hyperlink r:id="rId11" w:history="1">
        <w:r w:rsidR="00D612C3" w:rsidRPr="00D612C3">
          <w:rPr>
            <w:rStyle w:val="Hyperlink"/>
          </w:rPr>
          <w:t>Efficient ESMA level 2 measures are needed to achieve EMIR 3.0 goals for resilient markets</w:t>
        </w:r>
      </w:hyperlink>
      <w:r>
        <w:t xml:space="preserve"> </w:t>
      </w:r>
      <w:r w:rsidR="00D612C3">
        <w:t>(</w:t>
      </w:r>
      <w:r w:rsidR="00852A3F">
        <w:t>paragraph</w:t>
      </w:r>
      <w:r>
        <w:t xml:space="preserve"> 2</w:t>
      </w:r>
      <w:r w:rsidR="00D612C3">
        <w:t>,</w:t>
      </w:r>
      <w:r>
        <w:t xml:space="preserve"> page 8</w:t>
      </w:r>
      <w:r w:rsidR="00D612C3">
        <w:t>)</w:t>
      </w:r>
    </w:p>
  </w:footnote>
  <w:footnote w:id="13">
    <w:p w14:paraId="69A7C9EC" w14:textId="77777777" w:rsidR="00426E8E" w:rsidRDefault="00426E8E" w:rsidP="00426E8E">
      <w:pPr>
        <w:pStyle w:val="FootnoteText"/>
      </w:pPr>
      <w:r>
        <w:rPr>
          <w:rStyle w:val="FootnoteReference"/>
        </w:rPr>
        <w:footnoteRef/>
      </w:r>
      <w:r>
        <w:t xml:space="preserve"> </w:t>
      </w:r>
      <w:r w:rsidRPr="00C162B8">
        <w:t xml:space="preserve">Frontier Economics, </w:t>
      </w:r>
      <w:hyperlink r:id="rId12" w:history="1">
        <w:r w:rsidRPr="00C162B8">
          <w:rPr>
            <w:rStyle w:val="Hyperlink"/>
          </w:rPr>
          <w:t>Review of the EMIR Clearing Thresholds for Commodities (CTT)</w:t>
        </w:r>
      </w:hyperlink>
      <w:r w:rsidRPr="00C162B8">
        <w:t>, May 2022</w:t>
      </w:r>
      <w:r>
        <w:t xml:space="preserve"> (pages 62 - 63)</w:t>
      </w:r>
    </w:p>
  </w:footnote>
  <w:footnote w:id="14">
    <w:p w14:paraId="0C33007A" w14:textId="390EB652" w:rsidR="008A523D" w:rsidRDefault="008A523D" w:rsidP="008A523D">
      <w:pPr>
        <w:pStyle w:val="FootnoteText"/>
      </w:pPr>
      <w:r>
        <w:rPr>
          <w:rStyle w:val="FootnoteReference"/>
        </w:rPr>
        <w:footnoteRef/>
      </w:r>
      <w:r>
        <w:t xml:space="preserve"> We would further emphasise that although these transactions would not be subject to the EMIR margin requirements, it is nevertheless commonplace for collateral to be exchanged.  </w:t>
      </w:r>
    </w:p>
  </w:footnote>
  <w:footnote w:id="15">
    <w:p w14:paraId="42169FFF" w14:textId="77777777" w:rsidR="0014162C" w:rsidRDefault="0014162C" w:rsidP="0014162C">
      <w:pPr>
        <w:pStyle w:val="FootnoteText"/>
      </w:pPr>
      <w:r>
        <w:rPr>
          <w:rStyle w:val="FootnoteReference"/>
        </w:rPr>
        <w:footnoteRef/>
      </w:r>
      <w:r>
        <w:t xml:space="preserve"> Joint Energy Associations Group position paper, </w:t>
      </w:r>
      <w:hyperlink r:id="rId13" w:history="1">
        <w:r w:rsidRPr="00D612C3">
          <w:rPr>
            <w:rStyle w:val="Hyperlink"/>
          </w:rPr>
          <w:t>Efficient ESMA level 2 measures are needed to achieve EMIR 3.0 goals for resilient markets</w:t>
        </w:r>
      </w:hyperlink>
      <w:r>
        <w:t xml:space="preserve"> (paragraph 2, page 7) </w:t>
      </w:r>
    </w:p>
  </w:footnote>
  <w:footnote w:id="16">
    <w:p w14:paraId="6672260C" w14:textId="15E33288" w:rsidR="00AF5448" w:rsidRDefault="00AF5448">
      <w:pPr>
        <w:pStyle w:val="FootnoteText"/>
      </w:pPr>
      <w:r>
        <w:rPr>
          <w:rStyle w:val="FootnoteReference"/>
        </w:rPr>
        <w:footnoteRef/>
      </w:r>
      <w:r>
        <w:t xml:space="preserve"> </w:t>
      </w:r>
      <w:r w:rsidRPr="00167AE9">
        <w:rPr>
          <w:rFonts w:cs="Arial"/>
        </w:rPr>
        <w:t>We refer to our response to Question 3 which discusses the pressures in the commodity market</w:t>
      </w:r>
      <w:r>
        <w:rPr>
          <w:rFonts w:cs="Arial"/>
        </w:rPr>
        <w:t>/ impact of a lower threshold on the market which is equally applicable here</w:t>
      </w:r>
      <w:r w:rsidRPr="00167AE9">
        <w:rPr>
          <w:rFonts w:cs="Arial"/>
        </w:rPr>
        <w:t>.</w:t>
      </w:r>
    </w:p>
  </w:footnote>
  <w:footnote w:id="17">
    <w:p w14:paraId="7E40C314" w14:textId="5D21AE92" w:rsidR="006D5A1A" w:rsidRDefault="006D5A1A">
      <w:pPr>
        <w:pStyle w:val="FootnoteText"/>
      </w:pPr>
      <w:r>
        <w:rPr>
          <w:rStyle w:val="FootnoteReference"/>
        </w:rPr>
        <w:footnoteRef/>
      </w:r>
      <w:r>
        <w:t xml:space="preserve"> </w:t>
      </w:r>
      <w:r w:rsidR="0002201A">
        <w:t>European Commission Guidance Document</w:t>
      </w:r>
      <w:hyperlink r:id="rId14" w:history="1">
        <w:r w:rsidR="0002201A" w:rsidRPr="00C10AC1">
          <w:rPr>
            <w:rStyle w:val="Hyperlink"/>
          </w:rPr>
          <w:t>, The EU ETS and MRV Maritime General Guidance For Shipping Companies</w:t>
        </w:r>
      </w:hyperlink>
      <w:r w:rsidR="0002201A">
        <w:t xml:space="preserve"> (Guidance document No. 1, Updated Version, 5 November 2024, pages 7-8)</w:t>
      </w:r>
    </w:p>
  </w:footnote>
  <w:footnote w:id="18">
    <w:p w14:paraId="3CAD7928" w14:textId="77777777" w:rsidR="00B64F5F" w:rsidRPr="00B64F5F" w:rsidRDefault="00B64F5F" w:rsidP="00B64F5F">
      <w:pPr>
        <w:pStyle w:val="FootnoteText"/>
      </w:pPr>
      <w:r>
        <w:rPr>
          <w:rStyle w:val="FootnoteReference"/>
        </w:rPr>
        <w:footnoteRef/>
      </w:r>
      <w:r>
        <w:t xml:space="preserve"> </w:t>
      </w:r>
      <w:r w:rsidRPr="00B64F5F">
        <w:t xml:space="preserve">Frontier Economics, </w:t>
      </w:r>
      <w:hyperlink r:id="rId15" w:history="1">
        <w:r w:rsidRPr="00B64F5F">
          <w:rPr>
            <w:rStyle w:val="Hyperlink"/>
          </w:rPr>
          <w:t>Review of the EMIR Clearing Thresholds for Commodities (CTT)</w:t>
        </w:r>
      </w:hyperlink>
      <w:r w:rsidRPr="00B64F5F">
        <w:t>, May 2022 (pages 6; 36-42)</w:t>
      </w:r>
    </w:p>
    <w:p w14:paraId="660DBF82" w14:textId="77777777" w:rsidR="00B64F5F" w:rsidRDefault="00B64F5F" w:rsidP="00B64F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1DCA" w14:textId="77777777" w:rsidR="002879BF" w:rsidRDefault="0028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A9B2" w14:textId="331ACEBD" w:rsidR="00343ADC" w:rsidRPr="000D2C15" w:rsidRDefault="000D2C15" w:rsidP="000D2C15">
    <w:pPr>
      <w:pStyle w:val="Header"/>
      <w:jc w:val="right"/>
      <w:rPr>
        <w:rFonts w:ascii="Arial" w:hAnsi="Arial" w:cs="Arial"/>
        <w:sz w:val="20"/>
        <w:szCs w:val="20"/>
      </w:rPr>
    </w:pPr>
    <w:r w:rsidRPr="000D2C15">
      <w:rPr>
        <w:rFonts w:ascii="Arial" w:hAnsi="Arial" w:cs="Arial"/>
        <w:b/>
        <w:bCs/>
        <w:noProof/>
        <w:sz w:val="20"/>
        <w:szCs w:val="20"/>
        <w:u w:val="single"/>
      </w:rPr>
      <w:drawing>
        <wp:anchor distT="0" distB="0" distL="114300" distR="114300" simplePos="0" relativeHeight="251659264" behindDoc="1" locked="0" layoutInCell="1" allowOverlap="1" wp14:anchorId="226B086D" wp14:editId="0304E148">
          <wp:simplePos x="0" y="0"/>
          <wp:positionH relativeFrom="column">
            <wp:posOffset>-561975</wp:posOffset>
          </wp:positionH>
          <wp:positionV relativeFrom="paragraph">
            <wp:posOffset>-297180</wp:posOffset>
          </wp:positionV>
          <wp:extent cx="1066800" cy="732155"/>
          <wp:effectExtent l="0" t="0" r="0" b="0"/>
          <wp:wrapTight wrapText="bothSides">
            <wp:wrapPolygon edited="0">
              <wp:start x="0" y="0"/>
              <wp:lineTo x="0" y="20794"/>
              <wp:lineTo x="21214" y="20794"/>
              <wp:lineTo x="21214" y="0"/>
              <wp:lineTo x="0" y="0"/>
            </wp:wrapPolygon>
          </wp:wrapTight>
          <wp:docPr id="2054604604" name="Picture 1" descr="A logo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04604" name="Picture 1" descr="A logo of a company"/>
                  <pic:cNvPicPr/>
                </pic:nvPicPr>
                <pic:blipFill>
                  <a:blip r:embed="rId1">
                    <a:extLst>
                      <a:ext uri="{28A0092B-C50C-407E-A947-70E740481C1C}">
                        <a14:useLocalDpi xmlns:a14="http://schemas.microsoft.com/office/drawing/2010/main" val="0"/>
                      </a:ext>
                    </a:extLst>
                  </a:blip>
                  <a:stretch>
                    <a:fillRect/>
                  </a:stretch>
                </pic:blipFill>
                <pic:spPr>
                  <a:xfrm>
                    <a:off x="0" y="0"/>
                    <a:ext cx="1066800" cy="732155"/>
                  </a:xfrm>
                  <a:prstGeom prst="rect">
                    <a:avLst/>
                  </a:prstGeom>
                </pic:spPr>
              </pic:pic>
            </a:graphicData>
          </a:graphic>
          <wp14:sizeRelH relativeFrom="page">
            <wp14:pctWidth>0</wp14:pctWidth>
          </wp14:sizeRelH>
          <wp14:sizeRelV relativeFrom="page">
            <wp14:pctHeight>0</wp14:pctHeight>
          </wp14:sizeRelV>
        </wp:anchor>
      </w:drawing>
    </w:r>
    <w:r w:rsidRPr="000D2C15">
      <w:rPr>
        <w:rFonts w:ascii="Arial" w:hAnsi="Arial" w:cs="Arial"/>
        <w:sz w:val="20"/>
        <w:szCs w:val="20"/>
      </w:rPr>
      <w:t>16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683B" w14:textId="77777777" w:rsidR="002879BF" w:rsidRDefault="0028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 w15:restartNumberingAfterBreak="0">
    <w:nsid w:val="03935139"/>
    <w:multiLevelType w:val="hybridMultilevel"/>
    <w:tmpl w:val="CB842BA2"/>
    <w:lvl w:ilvl="0" w:tplc="0809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99E67AD"/>
    <w:multiLevelType w:val="hybridMultilevel"/>
    <w:tmpl w:val="65FA8056"/>
    <w:lvl w:ilvl="0" w:tplc="E85002EA">
      <w:start w:val="1"/>
      <w:numFmt w:val="decimal"/>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F6BE0"/>
    <w:multiLevelType w:val="hybridMultilevel"/>
    <w:tmpl w:val="600AC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047061"/>
    <w:multiLevelType w:val="hybridMultilevel"/>
    <w:tmpl w:val="2736A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C45008C"/>
    <w:multiLevelType w:val="hybridMultilevel"/>
    <w:tmpl w:val="0E542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51630"/>
    <w:multiLevelType w:val="hybridMultilevel"/>
    <w:tmpl w:val="A13A9ACE"/>
    <w:lvl w:ilvl="0" w:tplc="39ACE82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BE1B25"/>
    <w:multiLevelType w:val="hybridMultilevel"/>
    <w:tmpl w:val="1A3A98CA"/>
    <w:lvl w:ilvl="0" w:tplc="E85002EA">
      <w:start w:val="1"/>
      <w:numFmt w:val="decimal"/>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D3F47"/>
    <w:multiLevelType w:val="hybridMultilevel"/>
    <w:tmpl w:val="AD82F908"/>
    <w:lvl w:ilvl="0" w:tplc="35882850">
      <w:start w:val="1"/>
      <w:numFmt w:val="bullet"/>
      <w:lvlText w:val="•"/>
      <w:lvlJc w:val="left"/>
      <w:pPr>
        <w:tabs>
          <w:tab w:val="num" w:pos="720"/>
        </w:tabs>
        <w:ind w:left="720" w:hanging="360"/>
      </w:pPr>
      <w:rPr>
        <w:rFonts w:ascii="Arial" w:hAnsi="Arial" w:hint="default"/>
      </w:rPr>
    </w:lvl>
    <w:lvl w:ilvl="1" w:tplc="FDAC5E60" w:tentative="1">
      <w:start w:val="1"/>
      <w:numFmt w:val="bullet"/>
      <w:lvlText w:val="•"/>
      <w:lvlJc w:val="left"/>
      <w:pPr>
        <w:tabs>
          <w:tab w:val="num" w:pos="1440"/>
        </w:tabs>
        <w:ind w:left="1440" w:hanging="360"/>
      </w:pPr>
      <w:rPr>
        <w:rFonts w:ascii="Arial" w:hAnsi="Arial" w:hint="default"/>
      </w:rPr>
    </w:lvl>
    <w:lvl w:ilvl="2" w:tplc="EEBAE5D6" w:tentative="1">
      <w:start w:val="1"/>
      <w:numFmt w:val="bullet"/>
      <w:lvlText w:val="•"/>
      <w:lvlJc w:val="left"/>
      <w:pPr>
        <w:tabs>
          <w:tab w:val="num" w:pos="2160"/>
        </w:tabs>
        <w:ind w:left="2160" w:hanging="360"/>
      </w:pPr>
      <w:rPr>
        <w:rFonts w:ascii="Arial" w:hAnsi="Arial" w:hint="default"/>
      </w:rPr>
    </w:lvl>
    <w:lvl w:ilvl="3" w:tplc="C97AF392" w:tentative="1">
      <w:start w:val="1"/>
      <w:numFmt w:val="bullet"/>
      <w:lvlText w:val="•"/>
      <w:lvlJc w:val="left"/>
      <w:pPr>
        <w:tabs>
          <w:tab w:val="num" w:pos="2880"/>
        </w:tabs>
        <w:ind w:left="2880" w:hanging="360"/>
      </w:pPr>
      <w:rPr>
        <w:rFonts w:ascii="Arial" w:hAnsi="Arial" w:hint="default"/>
      </w:rPr>
    </w:lvl>
    <w:lvl w:ilvl="4" w:tplc="D850075C" w:tentative="1">
      <w:start w:val="1"/>
      <w:numFmt w:val="bullet"/>
      <w:lvlText w:val="•"/>
      <w:lvlJc w:val="left"/>
      <w:pPr>
        <w:tabs>
          <w:tab w:val="num" w:pos="3600"/>
        </w:tabs>
        <w:ind w:left="3600" w:hanging="360"/>
      </w:pPr>
      <w:rPr>
        <w:rFonts w:ascii="Arial" w:hAnsi="Arial" w:hint="default"/>
      </w:rPr>
    </w:lvl>
    <w:lvl w:ilvl="5" w:tplc="8E56DA0A" w:tentative="1">
      <w:start w:val="1"/>
      <w:numFmt w:val="bullet"/>
      <w:lvlText w:val="•"/>
      <w:lvlJc w:val="left"/>
      <w:pPr>
        <w:tabs>
          <w:tab w:val="num" w:pos="4320"/>
        </w:tabs>
        <w:ind w:left="4320" w:hanging="360"/>
      </w:pPr>
      <w:rPr>
        <w:rFonts w:ascii="Arial" w:hAnsi="Arial" w:hint="default"/>
      </w:rPr>
    </w:lvl>
    <w:lvl w:ilvl="6" w:tplc="50948C06" w:tentative="1">
      <w:start w:val="1"/>
      <w:numFmt w:val="bullet"/>
      <w:lvlText w:val="•"/>
      <w:lvlJc w:val="left"/>
      <w:pPr>
        <w:tabs>
          <w:tab w:val="num" w:pos="5040"/>
        </w:tabs>
        <w:ind w:left="5040" w:hanging="360"/>
      </w:pPr>
      <w:rPr>
        <w:rFonts w:ascii="Arial" w:hAnsi="Arial" w:hint="default"/>
      </w:rPr>
    </w:lvl>
    <w:lvl w:ilvl="7" w:tplc="42201C44" w:tentative="1">
      <w:start w:val="1"/>
      <w:numFmt w:val="bullet"/>
      <w:lvlText w:val="•"/>
      <w:lvlJc w:val="left"/>
      <w:pPr>
        <w:tabs>
          <w:tab w:val="num" w:pos="5760"/>
        </w:tabs>
        <w:ind w:left="5760" w:hanging="360"/>
      </w:pPr>
      <w:rPr>
        <w:rFonts w:ascii="Arial" w:hAnsi="Arial" w:hint="default"/>
      </w:rPr>
    </w:lvl>
    <w:lvl w:ilvl="8" w:tplc="C484B6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7F0ED4"/>
    <w:multiLevelType w:val="hybridMultilevel"/>
    <w:tmpl w:val="1020FF38"/>
    <w:lvl w:ilvl="0" w:tplc="FD9E5E7C">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A4BA0"/>
    <w:multiLevelType w:val="hybridMultilevel"/>
    <w:tmpl w:val="3C3E77D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1" w15:restartNumberingAfterBreak="0">
    <w:nsid w:val="6B375E1B"/>
    <w:multiLevelType w:val="hybridMultilevel"/>
    <w:tmpl w:val="5210A3C4"/>
    <w:lvl w:ilvl="0" w:tplc="1132E9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F70564"/>
    <w:multiLevelType w:val="hybridMultilevel"/>
    <w:tmpl w:val="0612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97EC2"/>
    <w:multiLevelType w:val="hybridMultilevel"/>
    <w:tmpl w:val="6AAA9E8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7F8C6D0F"/>
    <w:multiLevelType w:val="hybridMultilevel"/>
    <w:tmpl w:val="F34E7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983297">
    <w:abstractNumId w:val="0"/>
  </w:num>
  <w:num w:numId="2" w16cid:durableId="2021395259">
    <w:abstractNumId w:val="5"/>
  </w:num>
  <w:num w:numId="3" w16cid:durableId="1935239811">
    <w:abstractNumId w:val="9"/>
  </w:num>
  <w:num w:numId="4" w16cid:durableId="1270813566">
    <w:abstractNumId w:val="14"/>
  </w:num>
  <w:num w:numId="5" w16cid:durableId="255752577">
    <w:abstractNumId w:val="0"/>
  </w:num>
  <w:num w:numId="6" w16cid:durableId="2039743606">
    <w:abstractNumId w:val="0"/>
  </w:num>
  <w:num w:numId="7" w16cid:durableId="1314405093">
    <w:abstractNumId w:val="0"/>
  </w:num>
  <w:num w:numId="8" w16cid:durableId="1038431032">
    <w:abstractNumId w:val="0"/>
  </w:num>
  <w:num w:numId="9" w16cid:durableId="1283072443">
    <w:abstractNumId w:val="0"/>
  </w:num>
  <w:num w:numId="10" w16cid:durableId="920794577">
    <w:abstractNumId w:val="0"/>
  </w:num>
  <w:num w:numId="11" w16cid:durableId="1569532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912735">
    <w:abstractNumId w:val="3"/>
  </w:num>
  <w:num w:numId="13" w16cid:durableId="381101100">
    <w:abstractNumId w:val="0"/>
  </w:num>
  <w:num w:numId="14" w16cid:durableId="1993215505">
    <w:abstractNumId w:val="10"/>
  </w:num>
  <w:num w:numId="15" w16cid:durableId="827332323">
    <w:abstractNumId w:val="1"/>
  </w:num>
  <w:num w:numId="16" w16cid:durableId="2103454992">
    <w:abstractNumId w:val="1"/>
  </w:num>
  <w:num w:numId="17" w16cid:durableId="1166357680">
    <w:abstractNumId w:val="8"/>
  </w:num>
  <w:num w:numId="18" w16cid:durableId="824856674">
    <w:abstractNumId w:val="13"/>
  </w:num>
  <w:num w:numId="19" w16cid:durableId="1827939075">
    <w:abstractNumId w:val="11"/>
  </w:num>
  <w:num w:numId="20" w16cid:durableId="739596240">
    <w:abstractNumId w:val="7"/>
  </w:num>
  <w:num w:numId="21" w16cid:durableId="648167738">
    <w:abstractNumId w:val="2"/>
  </w:num>
  <w:num w:numId="22" w16cid:durableId="444740890">
    <w:abstractNumId w:val="12"/>
  </w:num>
  <w:num w:numId="23" w16cid:durableId="1590196171">
    <w:abstractNumId w:val="6"/>
  </w:num>
  <w:num w:numId="24" w16cid:durableId="527304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Logon" w:val="LB20"/>
    <w:docVar w:name="FSAuthorName" w:val="Leya Beidas"/>
    <w:docVar w:name="FSClientName" w:val="FIA"/>
    <w:docVar w:name="FSClientNumber" w:val="UK01-2021878"/>
    <w:docVar w:name="FSDocClass" w:val="DOC"/>
    <w:docVar w:name="FSDocNumber" w:val="129837674"/>
    <w:docVar w:name="FSDocVersion" w:val="2"/>
    <w:docVar w:name="FSMatterDesc" w:val="FIA Inc – EMIR 3.0 – Clearing Threshold calculation"/>
    <w:docVar w:name="FSMatterNumber" w:val="00002"/>
    <w:docVar w:name="FSTypist" w:val="LB20"/>
    <w:docVar w:name="FSTypistLogon" w:val="LB20"/>
    <w:docVar w:name="FSTypistName" w:val="Leya Beidas"/>
    <w:docVar w:name="zHistoryOfSaves" w:val="11/06/24 12:45 User: BM10_x000d__x0009_21/06/24 16:13 User: BM10_x000d__x0009_28/06/24 15:45 User: BM10_x000d__x0009_12/07/24 10:59 User: BM10_x000d__x0009_11/09/24 13:04 User: BM10_x000d__x0009_12/09/24 10:45 User: BM10"/>
  </w:docVars>
  <w:rsids>
    <w:rsidRoot w:val="00B51856"/>
    <w:rsid w:val="00000179"/>
    <w:rsid w:val="000011B9"/>
    <w:rsid w:val="000015B7"/>
    <w:rsid w:val="000037CB"/>
    <w:rsid w:val="00003836"/>
    <w:rsid w:val="000041C4"/>
    <w:rsid w:val="00004AE7"/>
    <w:rsid w:val="00005308"/>
    <w:rsid w:val="0000551F"/>
    <w:rsid w:val="000070AC"/>
    <w:rsid w:val="00007176"/>
    <w:rsid w:val="00007C0C"/>
    <w:rsid w:val="000117CC"/>
    <w:rsid w:val="00012783"/>
    <w:rsid w:val="00013620"/>
    <w:rsid w:val="000139C5"/>
    <w:rsid w:val="0001434B"/>
    <w:rsid w:val="00014443"/>
    <w:rsid w:val="000150DA"/>
    <w:rsid w:val="0001517C"/>
    <w:rsid w:val="000173C6"/>
    <w:rsid w:val="00017643"/>
    <w:rsid w:val="000179C9"/>
    <w:rsid w:val="00017AA3"/>
    <w:rsid w:val="000207A4"/>
    <w:rsid w:val="00021597"/>
    <w:rsid w:val="00021F62"/>
    <w:rsid w:val="0002201A"/>
    <w:rsid w:val="00022152"/>
    <w:rsid w:val="00022737"/>
    <w:rsid w:val="00022AC7"/>
    <w:rsid w:val="00023008"/>
    <w:rsid w:val="00024B9C"/>
    <w:rsid w:val="0002603A"/>
    <w:rsid w:val="00026145"/>
    <w:rsid w:val="000279AE"/>
    <w:rsid w:val="00027A71"/>
    <w:rsid w:val="00027EF9"/>
    <w:rsid w:val="00030028"/>
    <w:rsid w:val="00032C42"/>
    <w:rsid w:val="00032F93"/>
    <w:rsid w:val="00033419"/>
    <w:rsid w:val="000351D0"/>
    <w:rsid w:val="00035C9A"/>
    <w:rsid w:val="00036251"/>
    <w:rsid w:val="000364B3"/>
    <w:rsid w:val="00040336"/>
    <w:rsid w:val="00040B40"/>
    <w:rsid w:val="000410F0"/>
    <w:rsid w:val="0004139B"/>
    <w:rsid w:val="00042078"/>
    <w:rsid w:val="000435CF"/>
    <w:rsid w:val="00044726"/>
    <w:rsid w:val="0004596F"/>
    <w:rsid w:val="00046A3A"/>
    <w:rsid w:val="000505E5"/>
    <w:rsid w:val="0005081F"/>
    <w:rsid w:val="000509FA"/>
    <w:rsid w:val="00052A0D"/>
    <w:rsid w:val="000533CC"/>
    <w:rsid w:val="00053B19"/>
    <w:rsid w:val="00055AF6"/>
    <w:rsid w:val="00056923"/>
    <w:rsid w:val="000575C9"/>
    <w:rsid w:val="000575D4"/>
    <w:rsid w:val="00057C0A"/>
    <w:rsid w:val="00057F7C"/>
    <w:rsid w:val="000600AF"/>
    <w:rsid w:val="00060447"/>
    <w:rsid w:val="00060D43"/>
    <w:rsid w:val="000626D5"/>
    <w:rsid w:val="0006288C"/>
    <w:rsid w:val="0006581B"/>
    <w:rsid w:val="000664DC"/>
    <w:rsid w:val="000678AF"/>
    <w:rsid w:val="00067E49"/>
    <w:rsid w:val="00070619"/>
    <w:rsid w:val="000710B9"/>
    <w:rsid w:val="0007174F"/>
    <w:rsid w:val="00071BA0"/>
    <w:rsid w:val="000725BE"/>
    <w:rsid w:val="00072F93"/>
    <w:rsid w:val="00073319"/>
    <w:rsid w:val="00073D02"/>
    <w:rsid w:val="00075758"/>
    <w:rsid w:val="0007593F"/>
    <w:rsid w:val="0007727B"/>
    <w:rsid w:val="00077FF3"/>
    <w:rsid w:val="000817BA"/>
    <w:rsid w:val="00082C39"/>
    <w:rsid w:val="000834CC"/>
    <w:rsid w:val="000843D4"/>
    <w:rsid w:val="000852E7"/>
    <w:rsid w:val="0008534D"/>
    <w:rsid w:val="00085408"/>
    <w:rsid w:val="00085CAB"/>
    <w:rsid w:val="00086A81"/>
    <w:rsid w:val="000874D2"/>
    <w:rsid w:val="00087E9A"/>
    <w:rsid w:val="0009302D"/>
    <w:rsid w:val="00093A1D"/>
    <w:rsid w:val="0009457D"/>
    <w:rsid w:val="00094D17"/>
    <w:rsid w:val="000960E3"/>
    <w:rsid w:val="00096CAE"/>
    <w:rsid w:val="000971B0"/>
    <w:rsid w:val="000A0010"/>
    <w:rsid w:val="000A119C"/>
    <w:rsid w:val="000A1BB3"/>
    <w:rsid w:val="000A1D60"/>
    <w:rsid w:val="000A392A"/>
    <w:rsid w:val="000A48BB"/>
    <w:rsid w:val="000A4CED"/>
    <w:rsid w:val="000A5747"/>
    <w:rsid w:val="000A6131"/>
    <w:rsid w:val="000A68C6"/>
    <w:rsid w:val="000A6FB0"/>
    <w:rsid w:val="000A7315"/>
    <w:rsid w:val="000B065A"/>
    <w:rsid w:val="000B1689"/>
    <w:rsid w:val="000B3500"/>
    <w:rsid w:val="000B5167"/>
    <w:rsid w:val="000B5E47"/>
    <w:rsid w:val="000C0204"/>
    <w:rsid w:val="000C2CAC"/>
    <w:rsid w:val="000C380B"/>
    <w:rsid w:val="000C4049"/>
    <w:rsid w:val="000C52D2"/>
    <w:rsid w:val="000C55E7"/>
    <w:rsid w:val="000C58C5"/>
    <w:rsid w:val="000C6809"/>
    <w:rsid w:val="000C752A"/>
    <w:rsid w:val="000C7613"/>
    <w:rsid w:val="000D23DF"/>
    <w:rsid w:val="000D2723"/>
    <w:rsid w:val="000D2C15"/>
    <w:rsid w:val="000D3907"/>
    <w:rsid w:val="000D3F0F"/>
    <w:rsid w:val="000D4AEE"/>
    <w:rsid w:val="000D4B63"/>
    <w:rsid w:val="000D4BE0"/>
    <w:rsid w:val="000D6918"/>
    <w:rsid w:val="000E1F43"/>
    <w:rsid w:val="000E32C1"/>
    <w:rsid w:val="000E469D"/>
    <w:rsid w:val="000E6BBB"/>
    <w:rsid w:val="000E72B5"/>
    <w:rsid w:val="000E778B"/>
    <w:rsid w:val="000F206F"/>
    <w:rsid w:val="000F2257"/>
    <w:rsid w:val="000F26EF"/>
    <w:rsid w:val="000F2948"/>
    <w:rsid w:val="000F2A04"/>
    <w:rsid w:val="000F31A7"/>
    <w:rsid w:val="000F31C0"/>
    <w:rsid w:val="000F4837"/>
    <w:rsid w:val="000F4BFA"/>
    <w:rsid w:val="000F5733"/>
    <w:rsid w:val="000F5FC5"/>
    <w:rsid w:val="000F605D"/>
    <w:rsid w:val="000F6531"/>
    <w:rsid w:val="000F6765"/>
    <w:rsid w:val="000F6DD0"/>
    <w:rsid w:val="000F6E10"/>
    <w:rsid w:val="000F6EA2"/>
    <w:rsid w:val="000F7C0D"/>
    <w:rsid w:val="000F7F02"/>
    <w:rsid w:val="001001C7"/>
    <w:rsid w:val="0010027B"/>
    <w:rsid w:val="001003CC"/>
    <w:rsid w:val="00100749"/>
    <w:rsid w:val="001010E3"/>
    <w:rsid w:val="00102FDF"/>
    <w:rsid w:val="001048C8"/>
    <w:rsid w:val="00104DBC"/>
    <w:rsid w:val="00105320"/>
    <w:rsid w:val="00105D59"/>
    <w:rsid w:val="00105E4F"/>
    <w:rsid w:val="00107120"/>
    <w:rsid w:val="00107843"/>
    <w:rsid w:val="00107D41"/>
    <w:rsid w:val="00110301"/>
    <w:rsid w:val="00110F6C"/>
    <w:rsid w:val="0011101D"/>
    <w:rsid w:val="001115F9"/>
    <w:rsid w:val="00111AAB"/>
    <w:rsid w:val="00113164"/>
    <w:rsid w:val="00113182"/>
    <w:rsid w:val="0011482F"/>
    <w:rsid w:val="0011565C"/>
    <w:rsid w:val="001157EC"/>
    <w:rsid w:val="00115E35"/>
    <w:rsid w:val="00116CE1"/>
    <w:rsid w:val="0011763A"/>
    <w:rsid w:val="00117683"/>
    <w:rsid w:val="001176B2"/>
    <w:rsid w:val="0012009D"/>
    <w:rsid w:val="00120232"/>
    <w:rsid w:val="001212B8"/>
    <w:rsid w:val="001213E7"/>
    <w:rsid w:val="00121751"/>
    <w:rsid w:val="00121C29"/>
    <w:rsid w:val="0012401E"/>
    <w:rsid w:val="0012525A"/>
    <w:rsid w:val="00125BEF"/>
    <w:rsid w:val="0012746A"/>
    <w:rsid w:val="00127650"/>
    <w:rsid w:val="001277D3"/>
    <w:rsid w:val="00130464"/>
    <w:rsid w:val="00130C7B"/>
    <w:rsid w:val="001313AD"/>
    <w:rsid w:val="00132814"/>
    <w:rsid w:val="001331D7"/>
    <w:rsid w:val="001349BF"/>
    <w:rsid w:val="0013528D"/>
    <w:rsid w:val="00135299"/>
    <w:rsid w:val="00140127"/>
    <w:rsid w:val="00140824"/>
    <w:rsid w:val="0014162C"/>
    <w:rsid w:val="0014181A"/>
    <w:rsid w:val="00142910"/>
    <w:rsid w:val="00142C90"/>
    <w:rsid w:val="00144743"/>
    <w:rsid w:val="0014484D"/>
    <w:rsid w:val="00145B74"/>
    <w:rsid w:val="0014642C"/>
    <w:rsid w:val="00146A23"/>
    <w:rsid w:val="001479E8"/>
    <w:rsid w:val="001514E9"/>
    <w:rsid w:val="00152028"/>
    <w:rsid w:val="0015495C"/>
    <w:rsid w:val="001555D9"/>
    <w:rsid w:val="00155AD1"/>
    <w:rsid w:val="00155FD6"/>
    <w:rsid w:val="00156212"/>
    <w:rsid w:val="00156C09"/>
    <w:rsid w:val="00156E54"/>
    <w:rsid w:val="00160784"/>
    <w:rsid w:val="00160DC6"/>
    <w:rsid w:val="0016381F"/>
    <w:rsid w:val="00163ACD"/>
    <w:rsid w:val="00163C15"/>
    <w:rsid w:val="00163DCD"/>
    <w:rsid w:val="00164AAB"/>
    <w:rsid w:val="00164B53"/>
    <w:rsid w:val="00164D44"/>
    <w:rsid w:val="00164F81"/>
    <w:rsid w:val="00165050"/>
    <w:rsid w:val="00165100"/>
    <w:rsid w:val="0016513F"/>
    <w:rsid w:val="0016525D"/>
    <w:rsid w:val="00166CCE"/>
    <w:rsid w:val="00166E32"/>
    <w:rsid w:val="001673D4"/>
    <w:rsid w:val="00167522"/>
    <w:rsid w:val="00167AE9"/>
    <w:rsid w:val="0017009B"/>
    <w:rsid w:val="00171532"/>
    <w:rsid w:val="0017170D"/>
    <w:rsid w:val="00172238"/>
    <w:rsid w:val="00172D83"/>
    <w:rsid w:val="00172FF9"/>
    <w:rsid w:val="001769D1"/>
    <w:rsid w:val="001772E0"/>
    <w:rsid w:val="001776D2"/>
    <w:rsid w:val="00180712"/>
    <w:rsid w:val="00181423"/>
    <w:rsid w:val="0018261C"/>
    <w:rsid w:val="00182F9C"/>
    <w:rsid w:val="00183236"/>
    <w:rsid w:val="00183873"/>
    <w:rsid w:val="0018393E"/>
    <w:rsid w:val="00184F74"/>
    <w:rsid w:val="001850B6"/>
    <w:rsid w:val="001853EE"/>
    <w:rsid w:val="00185ED5"/>
    <w:rsid w:val="0018750A"/>
    <w:rsid w:val="0018771A"/>
    <w:rsid w:val="00190556"/>
    <w:rsid w:val="001908AB"/>
    <w:rsid w:val="00191711"/>
    <w:rsid w:val="00191F93"/>
    <w:rsid w:val="00192551"/>
    <w:rsid w:val="00192FDB"/>
    <w:rsid w:val="001949E3"/>
    <w:rsid w:val="0019510F"/>
    <w:rsid w:val="001959D3"/>
    <w:rsid w:val="00197EF5"/>
    <w:rsid w:val="001A0CAB"/>
    <w:rsid w:val="001A15E2"/>
    <w:rsid w:val="001A162B"/>
    <w:rsid w:val="001A21B8"/>
    <w:rsid w:val="001A2CE0"/>
    <w:rsid w:val="001A33AC"/>
    <w:rsid w:val="001A44E1"/>
    <w:rsid w:val="001A48FC"/>
    <w:rsid w:val="001A7957"/>
    <w:rsid w:val="001B0D05"/>
    <w:rsid w:val="001B22D0"/>
    <w:rsid w:val="001B249D"/>
    <w:rsid w:val="001B257F"/>
    <w:rsid w:val="001B2631"/>
    <w:rsid w:val="001B26E1"/>
    <w:rsid w:val="001B2BE4"/>
    <w:rsid w:val="001B3840"/>
    <w:rsid w:val="001B3925"/>
    <w:rsid w:val="001B3B95"/>
    <w:rsid w:val="001B432C"/>
    <w:rsid w:val="001B472B"/>
    <w:rsid w:val="001B5BD6"/>
    <w:rsid w:val="001B60D5"/>
    <w:rsid w:val="001B6E03"/>
    <w:rsid w:val="001B7660"/>
    <w:rsid w:val="001B7D46"/>
    <w:rsid w:val="001C059D"/>
    <w:rsid w:val="001C1BD9"/>
    <w:rsid w:val="001C1FB6"/>
    <w:rsid w:val="001C2D0C"/>
    <w:rsid w:val="001C5552"/>
    <w:rsid w:val="001C5E02"/>
    <w:rsid w:val="001C6F2D"/>
    <w:rsid w:val="001C6FF2"/>
    <w:rsid w:val="001C7AB0"/>
    <w:rsid w:val="001D28E2"/>
    <w:rsid w:val="001D33B1"/>
    <w:rsid w:val="001D356C"/>
    <w:rsid w:val="001D6B36"/>
    <w:rsid w:val="001D6CDF"/>
    <w:rsid w:val="001D7999"/>
    <w:rsid w:val="001D7CE7"/>
    <w:rsid w:val="001E0928"/>
    <w:rsid w:val="001E1413"/>
    <w:rsid w:val="001E192D"/>
    <w:rsid w:val="001E19AB"/>
    <w:rsid w:val="001E1B40"/>
    <w:rsid w:val="001E2550"/>
    <w:rsid w:val="001E2F80"/>
    <w:rsid w:val="001E3CC0"/>
    <w:rsid w:val="001E4418"/>
    <w:rsid w:val="001E52FE"/>
    <w:rsid w:val="001E534F"/>
    <w:rsid w:val="001E5A53"/>
    <w:rsid w:val="001F140D"/>
    <w:rsid w:val="001F272B"/>
    <w:rsid w:val="001F2D35"/>
    <w:rsid w:val="001F545C"/>
    <w:rsid w:val="001F59C8"/>
    <w:rsid w:val="001F62AF"/>
    <w:rsid w:val="001F6AA6"/>
    <w:rsid w:val="001F6BBC"/>
    <w:rsid w:val="001F79A6"/>
    <w:rsid w:val="00200682"/>
    <w:rsid w:val="002008CC"/>
    <w:rsid w:val="00201985"/>
    <w:rsid w:val="00201FEF"/>
    <w:rsid w:val="00202FE2"/>
    <w:rsid w:val="00203159"/>
    <w:rsid w:val="0020344F"/>
    <w:rsid w:val="00203CA6"/>
    <w:rsid w:val="00204236"/>
    <w:rsid w:val="00205663"/>
    <w:rsid w:val="00205903"/>
    <w:rsid w:val="00206CD0"/>
    <w:rsid w:val="00207995"/>
    <w:rsid w:val="00207C40"/>
    <w:rsid w:val="00210AC8"/>
    <w:rsid w:val="002112DF"/>
    <w:rsid w:val="00214F15"/>
    <w:rsid w:val="00216310"/>
    <w:rsid w:val="00216607"/>
    <w:rsid w:val="00217DAB"/>
    <w:rsid w:val="00220186"/>
    <w:rsid w:val="00221F1A"/>
    <w:rsid w:val="002229E0"/>
    <w:rsid w:val="00222EE1"/>
    <w:rsid w:val="00222F15"/>
    <w:rsid w:val="00224623"/>
    <w:rsid w:val="0022490B"/>
    <w:rsid w:val="00225AB8"/>
    <w:rsid w:val="00226E1D"/>
    <w:rsid w:val="0022706C"/>
    <w:rsid w:val="002271BF"/>
    <w:rsid w:val="00231952"/>
    <w:rsid w:val="00233A5C"/>
    <w:rsid w:val="0023545E"/>
    <w:rsid w:val="00237D68"/>
    <w:rsid w:val="00240E83"/>
    <w:rsid w:val="00242948"/>
    <w:rsid w:val="00242F7C"/>
    <w:rsid w:val="00245163"/>
    <w:rsid w:val="00245D73"/>
    <w:rsid w:val="00246063"/>
    <w:rsid w:val="0025082A"/>
    <w:rsid w:val="0025087D"/>
    <w:rsid w:val="00252725"/>
    <w:rsid w:val="00253535"/>
    <w:rsid w:val="00253C79"/>
    <w:rsid w:val="00254948"/>
    <w:rsid w:val="00254AE2"/>
    <w:rsid w:val="00254AE4"/>
    <w:rsid w:val="002554DF"/>
    <w:rsid w:val="002555F7"/>
    <w:rsid w:val="002556F0"/>
    <w:rsid w:val="00255983"/>
    <w:rsid w:val="00256143"/>
    <w:rsid w:val="00256406"/>
    <w:rsid w:val="002565D2"/>
    <w:rsid w:val="00256E4C"/>
    <w:rsid w:val="00256FF5"/>
    <w:rsid w:val="00257579"/>
    <w:rsid w:val="00257BEE"/>
    <w:rsid w:val="00257DD9"/>
    <w:rsid w:val="00257E8B"/>
    <w:rsid w:val="0026014A"/>
    <w:rsid w:val="00260791"/>
    <w:rsid w:val="00260CD8"/>
    <w:rsid w:val="002628C7"/>
    <w:rsid w:val="00264098"/>
    <w:rsid w:val="0026581C"/>
    <w:rsid w:val="00266970"/>
    <w:rsid w:val="00266F2E"/>
    <w:rsid w:val="00267668"/>
    <w:rsid w:val="00267BA8"/>
    <w:rsid w:val="00267CDD"/>
    <w:rsid w:val="00267DE9"/>
    <w:rsid w:val="002703EE"/>
    <w:rsid w:val="00270870"/>
    <w:rsid w:val="00270AC9"/>
    <w:rsid w:val="00270CF6"/>
    <w:rsid w:val="00270EE1"/>
    <w:rsid w:val="00272093"/>
    <w:rsid w:val="00272551"/>
    <w:rsid w:val="002726FF"/>
    <w:rsid w:val="00272AD0"/>
    <w:rsid w:val="00272CD6"/>
    <w:rsid w:val="00272DF8"/>
    <w:rsid w:val="00273429"/>
    <w:rsid w:val="00273518"/>
    <w:rsid w:val="0027453A"/>
    <w:rsid w:val="00274BCC"/>
    <w:rsid w:val="00274BDF"/>
    <w:rsid w:val="00274CA4"/>
    <w:rsid w:val="00275E29"/>
    <w:rsid w:val="00276388"/>
    <w:rsid w:val="00276ABE"/>
    <w:rsid w:val="00277BD6"/>
    <w:rsid w:val="00280C99"/>
    <w:rsid w:val="0028100A"/>
    <w:rsid w:val="00281210"/>
    <w:rsid w:val="00281302"/>
    <w:rsid w:val="00281964"/>
    <w:rsid w:val="00281BEA"/>
    <w:rsid w:val="00281F2F"/>
    <w:rsid w:val="002822D6"/>
    <w:rsid w:val="00282AE2"/>
    <w:rsid w:val="002842B7"/>
    <w:rsid w:val="00285233"/>
    <w:rsid w:val="00285B4E"/>
    <w:rsid w:val="00286333"/>
    <w:rsid w:val="002879BF"/>
    <w:rsid w:val="00287D2E"/>
    <w:rsid w:val="00290138"/>
    <w:rsid w:val="002907FD"/>
    <w:rsid w:val="00291C9C"/>
    <w:rsid w:val="0029253B"/>
    <w:rsid w:val="00293664"/>
    <w:rsid w:val="00293C54"/>
    <w:rsid w:val="00293D3A"/>
    <w:rsid w:val="00294568"/>
    <w:rsid w:val="002945AC"/>
    <w:rsid w:val="00294B32"/>
    <w:rsid w:val="00295700"/>
    <w:rsid w:val="002959A1"/>
    <w:rsid w:val="00296A86"/>
    <w:rsid w:val="00297563"/>
    <w:rsid w:val="002A0056"/>
    <w:rsid w:val="002A0876"/>
    <w:rsid w:val="002A0C7B"/>
    <w:rsid w:val="002A1843"/>
    <w:rsid w:val="002A1D75"/>
    <w:rsid w:val="002A227C"/>
    <w:rsid w:val="002A2C96"/>
    <w:rsid w:val="002A34E8"/>
    <w:rsid w:val="002A3B79"/>
    <w:rsid w:val="002A46AB"/>
    <w:rsid w:val="002A4A93"/>
    <w:rsid w:val="002A583E"/>
    <w:rsid w:val="002A6870"/>
    <w:rsid w:val="002A7180"/>
    <w:rsid w:val="002A7F84"/>
    <w:rsid w:val="002B0DC5"/>
    <w:rsid w:val="002B1B33"/>
    <w:rsid w:val="002B205B"/>
    <w:rsid w:val="002B2BDB"/>
    <w:rsid w:val="002B2E8B"/>
    <w:rsid w:val="002B4137"/>
    <w:rsid w:val="002B4C5D"/>
    <w:rsid w:val="002B5369"/>
    <w:rsid w:val="002B5D34"/>
    <w:rsid w:val="002B74B2"/>
    <w:rsid w:val="002B774B"/>
    <w:rsid w:val="002B7FEC"/>
    <w:rsid w:val="002C0228"/>
    <w:rsid w:val="002C0CA6"/>
    <w:rsid w:val="002C0FB2"/>
    <w:rsid w:val="002C1E72"/>
    <w:rsid w:val="002C2709"/>
    <w:rsid w:val="002C280B"/>
    <w:rsid w:val="002C2DF6"/>
    <w:rsid w:val="002C2FF9"/>
    <w:rsid w:val="002C5306"/>
    <w:rsid w:val="002C53F2"/>
    <w:rsid w:val="002C5AF1"/>
    <w:rsid w:val="002C5F80"/>
    <w:rsid w:val="002C695B"/>
    <w:rsid w:val="002C7501"/>
    <w:rsid w:val="002C7EFC"/>
    <w:rsid w:val="002D0431"/>
    <w:rsid w:val="002D1BFF"/>
    <w:rsid w:val="002D1F48"/>
    <w:rsid w:val="002D22CC"/>
    <w:rsid w:val="002D3531"/>
    <w:rsid w:val="002D359E"/>
    <w:rsid w:val="002D3ED9"/>
    <w:rsid w:val="002D4A7B"/>
    <w:rsid w:val="002D4AFD"/>
    <w:rsid w:val="002D6209"/>
    <w:rsid w:val="002D66DC"/>
    <w:rsid w:val="002E153E"/>
    <w:rsid w:val="002E1E13"/>
    <w:rsid w:val="002E2493"/>
    <w:rsid w:val="002E2690"/>
    <w:rsid w:val="002E2719"/>
    <w:rsid w:val="002E3C21"/>
    <w:rsid w:val="002E3D16"/>
    <w:rsid w:val="002E420A"/>
    <w:rsid w:val="002E4270"/>
    <w:rsid w:val="002E56D3"/>
    <w:rsid w:val="002E6B7F"/>
    <w:rsid w:val="002E72C5"/>
    <w:rsid w:val="002E7990"/>
    <w:rsid w:val="002E7E70"/>
    <w:rsid w:val="002F057D"/>
    <w:rsid w:val="002F11CB"/>
    <w:rsid w:val="002F202F"/>
    <w:rsid w:val="002F2AC6"/>
    <w:rsid w:val="002F3E0D"/>
    <w:rsid w:val="002F4396"/>
    <w:rsid w:val="002F6FF1"/>
    <w:rsid w:val="002F73D4"/>
    <w:rsid w:val="002F7615"/>
    <w:rsid w:val="002F7CCF"/>
    <w:rsid w:val="00300A57"/>
    <w:rsid w:val="00300D29"/>
    <w:rsid w:val="00302D16"/>
    <w:rsid w:val="00303171"/>
    <w:rsid w:val="00304226"/>
    <w:rsid w:val="0030461B"/>
    <w:rsid w:val="003068EA"/>
    <w:rsid w:val="00306C96"/>
    <w:rsid w:val="0030715E"/>
    <w:rsid w:val="0031077B"/>
    <w:rsid w:val="00312C0C"/>
    <w:rsid w:val="00312C2A"/>
    <w:rsid w:val="00313439"/>
    <w:rsid w:val="00313DAA"/>
    <w:rsid w:val="0031437D"/>
    <w:rsid w:val="003157B3"/>
    <w:rsid w:val="00321830"/>
    <w:rsid w:val="00321F23"/>
    <w:rsid w:val="0032249B"/>
    <w:rsid w:val="00322A23"/>
    <w:rsid w:val="00322B5E"/>
    <w:rsid w:val="0032394F"/>
    <w:rsid w:val="00324A14"/>
    <w:rsid w:val="00324E17"/>
    <w:rsid w:val="00325A95"/>
    <w:rsid w:val="00325D08"/>
    <w:rsid w:val="003263AF"/>
    <w:rsid w:val="003263F7"/>
    <w:rsid w:val="003270BB"/>
    <w:rsid w:val="003275DD"/>
    <w:rsid w:val="00327A39"/>
    <w:rsid w:val="00330B93"/>
    <w:rsid w:val="003317D9"/>
    <w:rsid w:val="0033185F"/>
    <w:rsid w:val="00331E7F"/>
    <w:rsid w:val="003321B2"/>
    <w:rsid w:val="00332D04"/>
    <w:rsid w:val="003338E5"/>
    <w:rsid w:val="00333FD4"/>
    <w:rsid w:val="003346E3"/>
    <w:rsid w:val="00334E4D"/>
    <w:rsid w:val="00335FC9"/>
    <w:rsid w:val="00337518"/>
    <w:rsid w:val="00337C0F"/>
    <w:rsid w:val="00340AFE"/>
    <w:rsid w:val="00341484"/>
    <w:rsid w:val="003417A9"/>
    <w:rsid w:val="00341A2D"/>
    <w:rsid w:val="00341ACA"/>
    <w:rsid w:val="003420AE"/>
    <w:rsid w:val="003437BF"/>
    <w:rsid w:val="0034388D"/>
    <w:rsid w:val="00343ADC"/>
    <w:rsid w:val="00343DB1"/>
    <w:rsid w:val="00343FE5"/>
    <w:rsid w:val="0034512B"/>
    <w:rsid w:val="0034592E"/>
    <w:rsid w:val="0034596E"/>
    <w:rsid w:val="003469A7"/>
    <w:rsid w:val="00347DFC"/>
    <w:rsid w:val="00351DC6"/>
    <w:rsid w:val="00352A28"/>
    <w:rsid w:val="00352DAB"/>
    <w:rsid w:val="00355DEC"/>
    <w:rsid w:val="003568CC"/>
    <w:rsid w:val="003576DB"/>
    <w:rsid w:val="0035796F"/>
    <w:rsid w:val="00357BD6"/>
    <w:rsid w:val="00357CC9"/>
    <w:rsid w:val="003600AA"/>
    <w:rsid w:val="00361D46"/>
    <w:rsid w:val="00363A93"/>
    <w:rsid w:val="003642C2"/>
    <w:rsid w:val="00364F21"/>
    <w:rsid w:val="003661C6"/>
    <w:rsid w:val="0036785F"/>
    <w:rsid w:val="00367FD7"/>
    <w:rsid w:val="0037055B"/>
    <w:rsid w:val="003719E3"/>
    <w:rsid w:val="00371B7F"/>
    <w:rsid w:val="00373B87"/>
    <w:rsid w:val="00374546"/>
    <w:rsid w:val="003745CE"/>
    <w:rsid w:val="00374E0B"/>
    <w:rsid w:val="00375FF9"/>
    <w:rsid w:val="00376A11"/>
    <w:rsid w:val="00376A6F"/>
    <w:rsid w:val="0038051E"/>
    <w:rsid w:val="0038093D"/>
    <w:rsid w:val="00381617"/>
    <w:rsid w:val="00382B66"/>
    <w:rsid w:val="0038322C"/>
    <w:rsid w:val="003842B1"/>
    <w:rsid w:val="00386E5C"/>
    <w:rsid w:val="00387E25"/>
    <w:rsid w:val="00390EB0"/>
    <w:rsid w:val="00393552"/>
    <w:rsid w:val="00393DAF"/>
    <w:rsid w:val="0039402F"/>
    <w:rsid w:val="00394E5E"/>
    <w:rsid w:val="00395B13"/>
    <w:rsid w:val="00395B1C"/>
    <w:rsid w:val="00395C0C"/>
    <w:rsid w:val="003969BB"/>
    <w:rsid w:val="00396D6A"/>
    <w:rsid w:val="00397014"/>
    <w:rsid w:val="003978F2"/>
    <w:rsid w:val="003A151E"/>
    <w:rsid w:val="003A2D01"/>
    <w:rsid w:val="003A3694"/>
    <w:rsid w:val="003A53D9"/>
    <w:rsid w:val="003A57C0"/>
    <w:rsid w:val="003A6C36"/>
    <w:rsid w:val="003A73D6"/>
    <w:rsid w:val="003B0565"/>
    <w:rsid w:val="003B07E9"/>
    <w:rsid w:val="003B1758"/>
    <w:rsid w:val="003B1DD6"/>
    <w:rsid w:val="003B2491"/>
    <w:rsid w:val="003B2ABF"/>
    <w:rsid w:val="003B465F"/>
    <w:rsid w:val="003B4878"/>
    <w:rsid w:val="003B66BF"/>
    <w:rsid w:val="003B77D7"/>
    <w:rsid w:val="003B7D73"/>
    <w:rsid w:val="003B7FCC"/>
    <w:rsid w:val="003C0030"/>
    <w:rsid w:val="003C0332"/>
    <w:rsid w:val="003C0A5B"/>
    <w:rsid w:val="003C0D84"/>
    <w:rsid w:val="003C0E2C"/>
    <w:rsid w:val="003C0F2A"/>
    <w:rsid w:val="003C1C87"/>
    <w:rsid w:val="003C284E"/>
    <w:rsid w:val="003C3453"/>
    <w:rsid w:val="003C51BB"/>
    <w:rsid w:val="003C539D"/>
    <w:rsid w:val="003C53E2"/>
    <w:rsid w:val="003C5766"/>
    <w:rsid w:val="003C5B2B"/>
    <w:rsid w:val="003C675D"/>
    <w:rsid w:val="003C7017"/>
    <w:rsid w:val="003C7145"/>
    <w:rsid w:val="003C77A9"/>
    <w:rsid w:val="003D0F0C"/>
    <w:rsid w:val="003D18F5"/>
    <w:rsid w:val="003D24B0"/>
    <w:rsid w:val="003D283F"/>
    <w:rsid w:val="003D3240"/>
    <w:rsid w:val="003D3F63"/>
    <w:rsid w:val="003D45DE"/>
    <w:rsid w:val="003D47AC"/>
    <w:rsid w:val="003D5F74"/>
    <w:rsid w:val="003D6F49"/>
    <w:rsid w:val="003D7D3B"/>
    <w:rsid w:val="003E113F"/>
    <w:rsid w:val="003E199C"/>
    <w:rsid w:val="003E1E5E"/>
    <w:rsid w:val="003E2C13"/>
    <w:rsid w:val="003E3658"/>
    <w:rsid w:val="003E3781"/>
    <w:rsid w:val="003E3A0E"/>
    <w:rsid w:val="003E4665"/>
    <w:rsid w:val="003E5E3E"/>
    <w:rsid w:val="003E5F65"/>
    <w:rsid w:val="003E6B50"/>
    <w:rsid w:val="003E6D61"/>
    <w:rsid w:val="003F0C3C"/>
    <w:rsid w:val="003F1E31"/>
    <w:rsid w:val="003F20D5"/>
    <w:rsid w:val="003F3212"/>
    <w:rsid w:val="003F3B5E"/>
    <w:rsid w:val="003F3CBA"/>
    <w:rsid w:val="003F3EA9"/>
    <w:rsid w:val="003F4FB9"/>
    <w:rsid w:val="003F60CD"/>
    <w:rsid w:val="003F654A"/>
    <w:rsid w:val="003F6D3F"/>
    <w:rsid w:val="003F7342"/>
    <w:rsid w:val="003F773B"/>
    <w:rsid w:val="004000BC"/>
    <w:rsid w:val="004011E6"/>
    <w:rsid w:val="00401FFF"/>
    <w:rsid w:val="004023EE"/>
    <w:rsid w:val="004030BB"/>
    <w:rsid w:val="004034F9"/>
    <w:rsid w:val="0040383A"/>
    <w:rsid w:val="00405117"/>
    <w:rsid w:val="00406584"/>
    <w:rsid w:val="004072EE"/>
    <w:rsid w:val="00407B4E"/>
    <w:rsid w:val="004100D9"/>
    <w:rsid w:val="004102E7"/>
    <w:rsid w:val="00411566"/>
    <w:rsid w:val="0041167F"/>
    <w:rsid w:val="00411FB9"/>
    <w:rsid w:val="004125EF"/>
    <w:rsid w:val="0041273E"/>
    <w:rsid w:val="004131F6"/>
    <w:rsid w:val="004132C5"/>
    <w:rsid w:val="00414C36"/>
    <w:rsid w:val="00414C53"/>
    <w:rsid w:val="00414F6B"/>
    <w:rsid w:val="00415A94"/>
    <w:rsid w:val="00420847"/>
    <w:rsid w:val="004210E4"/>
    <w:rsid w:val="004213BD"/>
    <w:rsid w:val="0042179E"/>
    <w:rsid w:val="004222A1"/>
    <w:rsid w:val="00422B76"/>
    <w:rsid w:val="00423B45"/>
    <w:rsid w:val="004246C8"/>
    <w:rsid w:val="00424A5C"/>
    <w:rsid w:val="0042514E"/>
    <w:rsid w:val="004253C9"/>
    <w:rsid w:val="004256ED"/>
    <w:rsid w:val="004257C0"/>
    <w:rsid w:val="00426E8E"/>
    <w:rsid w:val="00430667"/>
    <w:rsid w:val="00431211"/>
    <w:rsid w:val="00431766"/>
    <w:rsid w:val="0043181F"/>
    <w:rsid w:val="00431C97"/>
    <w:rsid w:val="00432C9A"/>
    <w:rsid w:val="00434B01"/>
    <w:rsid w:val="004355E8"/>
    <w:rsid w:val="00435EBA"/>
    <w:rsid w:val="00436251"/>
    <w:rsid w:val="0043683F"/>
    <w:rsid w:val="00437B8F"/>
    <w:rsid w:val="00437D79"/>
    <w:rsid w:val="0044180A"/>
    <w:rsid w:val="00441A9B"/>
    <w:rsid w:val="0044287F"/>
    <w:rsid w:val="004428D8"/>
    <w:rsid w:val="00442CAE"/>
    <w:rsid w:val="00442F43"/>
    <w:rsid w:val="00444576"/>
    <w:rsid w:val="0044506E"/>
    <w:rsid w:val="004458CD"/>
    <w:rsid w:val="00445BEE"/>
    <w:rsid w:val="00445C30"/>
    <w:rsid w:val="00446379"/>
    <w:rsid w:val="0044677E"/>
    <w:rsid w:val="00446950"/>
    <w:rsid w:val="00446E05"/>
    <w:rsid w:val="004500FE"/>
    <w:rsid w:val="004503CA"/>
    <w:rsid w:val="004524A1"/>
    <w:rsid w:val="00452C5B"/>
    <w:rsid w:val="00452D73"/>
    <w:rsid w:val="00452E1D"/>
    <w:rsid w:val="004545BD"/>
    <w:rsid w:val="0045499A"/>
    <w:rsid w:val="00455160"/>
    <w:rsid w:val="00455F33"/>
    <w:rsid w:val="00455F9F"/>
    <w:rsid w:val="0045628C"/>
    <w:rsid w:val="00456DEC"/>
    <w:rsid w:val="004572F1"/>
    <w:rsid w:val="00457579"/>
    <w:rsid w:val="00457EDF"/>
    <w:rsid w:val="00460CCE"/>
    <w:rsid w:val="004623FC"/>
    <w:rsid w:val="00463B7E"/>
    <w:rsid w:val="004640B4"/>
    <w:rsid w:val="00465B05"/>
    <w:rsid w:val="0046684D"/>
    <w:rsid w:val="004677A2"/>
    <w:rsid w:val="00470432"/>
    <w:rsid w:val="0047048A"/>
    <w:rsid w:val="0047130F"/>
    <w:rsid w:val="0047162D"/>
    <w:rsid w:val="00474096"/>
    <w:rsid w:val="00476EBA"/>
    <w:rsid w:val="00477A70"/>
    <w:rsid w:val="00480001"/>
    <w:rsid w:val="00480097"/>
    <w:rsid w:val="00480958"/>
    <w:rsid w:val="00480A6C"/>
    <w:rsid w:val="00482B58"/>
    <w:rsid w:val="00482D56"/>
    <w:rsid w:val="00483AB6"/>
    <w:rsid w:val="004843A2"/>
    <w:rsid w:val="0048562E"/>
    <w:rsid w:val="00485A60"/>
    <w:rsid w:val="00485BAA"/>
    <w:rsid w:val="00486CBE"/>
    <w:rsid w:val="00487FDB"/>
    <w:rsid w:val="00492129"/>
    <w:rsid w:val="004925BB"/>
    <w:rsid w:val="004930EF"/>
    <w:rsid w:val="004934AC"/>
    <w:rsid w:val="004936CD"/>
    <w:rsid w:val="00493CA3"/>
    <w:rsid w:val="0049551A"/>
    <w:rsid w:val="00495A65"/>
    <w:rsid w:val="00495CCB"/>
    <w:rsid w:val="0049645D"/>
    <w:rsid w:val="004977EE"/>
    <w:rsid w:val="004A0675"/>
    <w:rsid w:val="004A0E0C"/>
    <w:rsid w:val="004A0F1E"/>
    <w:rsid w:val="004A21A8"/>
    <w:rsid w:val="004A4749"/>
    <w:rsid w:val="004A4788"/>
    <w:rsid w:val="004A6275"/>
    <w:rsid w:val="004B0CE5"/>
    <w:rsid w:val="004B14FF"/>
    <w:rsid w:val="004B213A"/>
    <w:rsid w:val="004B255F"/>
    <w:rsid w:val="004B365E"/>
    <w:rsid w:val="004B4ADA"/>
    <w:rsid w:val="004B53E7"/>
    <w:rsid w:val="004B6F8C"/>
    <w:rsid w:val="004C0EB0"/>
    <w:rsid w:val="004C28C8"/>
    <w:rsid w:val="004C32C0"/>
    <w:rsid w:val="004C3EE4"/>
    <w:rsid w:val="004C5F89"/>
    <w:rsid w:val="004C5FD3"/>
    <w:rsid w:val="004C6CD9"/>
    <w:rsid w:val="004C7520"/>
    <w:rsid w:val="004D022A"/>
    <w:rsid w:val="004D0A78"/>
    <w:rsid w:val="004D251B"/>
    <w:rsid w:val="004D28A2"/>
    <w:rsid w:val="004D39C5"/>
    <w:rsid w:val="004D3BB1"/>
    <w:rsid w:val="004D4610"/>
    <w:rsid w:val="004D483D"/>
    <w:rsid w:val="004D4D5A"/>
    <w:rsid w:val="004D6049"/>
    <w:rsid w:val="004D68FD"/>
    <w:rsid w:val="004D6DE9"/>
    <w:rsid w:val="004D6E83"/>
    <w:rsid w:val="004D73A3"/>
    <w:rsid w:val="004E0B04"/>
    <w:rsid w:val="004E1615"/>
    <w:rsid w:val="004E19EF"/>
    <w:rsid w:val="004E378F"/>
    <w:rsid w:val="004E3AD2"/>
    <w:rsid w:val="004E5129"/>
    <w:rsid w:val="004E616E"/>
    <w:rsid w:val="004E6FCE"/>
    <w:rsid w:val="004F0373"/>
    <w:rsid w:val="004F1407"/>
    <w:rsid w:val="004F19A2"/>
    <w:rsid w:val="004F2CCD"/>
    <w:rsid w:val="004F30A4"/>
    <w:rsid w:val="004F3195"/>
    <w:rsid w:val="004F3457"/>
    <w:rsid w:val="004F3D95"/>
    <w:rsid w:val="004F474F"/>
    <w:rsid w:val="004F49D0"/>
    <w:rsid w:val="004F4CDA"/>
    <w:rsid w:val="004F7E41"/>
    <w:rsid w:val="0050074C"/>
    <w:rsid w:val="005013C7"/>
    <w:rsid w:val="00504FED"/>
    <w:rsid w:val="005058E8"/>
    <w:rsid w:val="005059E6"/>
    <w:rsid w:val="00511834"/>
    <w:rsid w:val="005142BB"/>
    <w:rsid w:val="00515734"/>
    <w:rsid w:val="0051740A"/>
    <w:rsid w:val="005177AD"/>
    <w:rsid w:val="00517CBC"/>
    <w:rsid w:val="00520714"/>
    <w:rsid w:val="00520B47"/>
    <w:rsid w:val="0052112B"/>
    <w:rsid w:val="00521439"/>
    <w:rsid w:val="0052250C"/>
    <w:rsid w:val="00522B55"/>
    <w:rsid w:val="00522BF9"/>
    <w:rsid w:val="0052551B"/>
    <w:rsid w:val="00525876"/>
    <w:rsid w:val="00525DFB"/>
    <w:rsid w:val="00526C6D"/>
    <w:rsid w:val="00527D1F"/>
    <w:rsid w:val="00530743"/>
    <w:rsid w:val="005335B1"/>
    <w:rsid w:val="00533D06"/>
    <w:rsid w:val="0053401B"/>
    <w:rsid w:val="00536480"/>
    <w:rsid w:val="00536847"/>
    <w:rsid w:val="00537422"/>
    <w:rsid w:val="005375F1"/>
    <w:rsid w:val="00541AE5"/>
    <w:rsid w:val="00543908"/>
    <w:rsid w:val="00543BC6"/>
    <w:rsid w:val="00544C8A"/>
    <w:rsid w:val="005450D8"/>
    <w:rsid w:val="00545353"/>
    <w:rsid w:val="005453D2"/>
    <w:rsid w:val="005454E2"/>
    <w:rsid w:val="005466B9"/>
    <w:rsid w:val="00546BEB"/>
    <w:rsid w:val="0054756E"/>
    <w:rsid w:val="00551713"/>
    <w:rsid w:val="005518DF"/>
    <w:rsid w:val="00551B67"/>
    <w:rsid w:val="005523DC"/>
    <w:rsid w:val="00552A23"/>
    <w:rsid w:val="005536FC"/>
    <w:rsid w:val="00553D73"/>
    <w:rsid w:val="005540B9"/>
    <w:rsid w:val="005544DE"/>
    <w:rsid w:val="00554EDA"/>
    <w:rsid w:val="00555766"/>
    <w:rsid w:val="00556242"/>
    <w:rsid w:val="00556395"/>
    <w:rsid w:val="0055730E"/>
    <w:rsid w:val="00560995"/>
    <w:rsid w:val="005614BB"/>
    <w:rsid w:val="005618B1"/>
    <w:rsid w:val="00562DCC"/>
    <w:rsid w:val="00562F12"/>
    <w:rsid w:val="00563755"/>
    <w:rsid w:val="00563A7B"/>
    <w:rsid w:val="00564238"/>
    <w:rsid w:val="005644C4"/>
    <w:rsid w:val="00564567"/>
    <w:rsid w:val="00564D42"/>
    <w:rsid w:val="005663A4"/>
    <w:rsid w:val="00566CE1"/>
    <w:rsid w:val="00567A9D"/>
    <w:rsid w:val="00570035"/>
    <w:rsid w:val="0057010B"/>
    <w:rsid w:val="0057092A"/>
    <w:rsid w:val="005720FB"/>
    <w:rsid w:val="005727EE"/>
    <w:rsid w:val="00572A56"/>
    <w:rsid w:val="005739C7"/>
    <w:rsid w:val="00574D78"/>
    <w:rsid w:val="00574EDB"/>
    <w:rsid w:val="005766D6"/>
    <w:rsid w:val="00576AF5"/>
    <w:rsid w:val="0058048F"/>
    <w:rsid w:val="005808ED"/>
    <w:rsid w:val="0058164E"/>
    <w:rsid w:val="005822F4"/>
    <w:rsid w:val="00582495"/>
    <w:rsid w:val="00583425"/>
    <w:rsid w:val="005836B3"/>
    <w:rsid w:val="00583D7C"/>
    <w:rsid w:val="005843F4"/>
    <w:rsid w:val="00584850"/>
    <w:rsid w:val="00584856"/>
    <w:rsid w:val="005856DB"/>
    <w:rsid w:val="0058582C"/>
    <w:rsid w:val="00585833"/>
    <w:rsid w:val="00586751"/>
    <w:rsid w:val="00586C99"/>
    <w:rsid w:val="005870E2"/>
    <w:rsid w:val="00590877"/>
    <w:rsid w:val="00590F3C"/>
    <w:rsid w:val="005933D9"/>
    <w:rsid w:val="005938E4"/>
    <w:rsid w:val="00593D6E"/>
    <w:rsid w:val="0059476B"/>
    <w:rsid w:val="00595693"/>
    <w:rsid w:val="005967AC"/>
    <w:rsid w:val="005967CD"/>
    <w:rsid w:val="00596D13"/>
    <w:rsid w:val="00596DF1"/>
    <w:rsid w:val="005A014F"/>
    <w:rsid w:val="005A2EC1"/>
    <w:rsid w:val="005A3671"/>
    <w:rsid w:val="005A3A99"/>
    <w:rsid w:val="005A3FED"/>
    <w:rsid w:val="005A4177"/>
    <w:rsid w:val="005A76DD"/>
    <w:rsid w:val="005A7E05"/>
    <w:rsid w:val="005B0737"/>
    <w:rsid w:val="005B1E84"/>
    <w:rsid w:val="005B2C42"/>
    <w:rsid w:val="005B2C46"/>
    <w:rsid w:val="005B5711"/>
    <w:rsid w:val="005B5A4C"/>
    <w:rsid w:val="005B6822"/>
    <w:rsid w:val="005B69C4"/>
    <w:rsid w:val="005B7598"/>
    <w:rsid w:val="005C101B"/>
    <w:rsid w:val="005C166D"/>
    <w:rsid w:val="005C1ED6"/>
    <w:rsid w:val="005C210A"/>
    <w:rsid w:val="005C3642"/>
    <w:rsid w:val="005C3A5E"/>
    <w:rsid w:val="005C4307"/>
    <w:rsid w:val="005C476B"/>
    <w:rsid w:val="005C7C47"/>
    <w:rsid w:val="005C7C80"/>
    <w:rsid w:val="005D1BA4"/>
    <w:rsid w:val="005D3E35"/>
    <w:rsid w:val="005D4539"/>
    <w:rsid w:val="005D4E8A"/>
    <w:rsid w:val="005D540E"/>
    <w:rsid w:val="005D5C5A"/>
    <w:rsid w:val="005D6E11"/>
    <w:rsid w:val="005D6E71"/>
    <w:rsid w:val="005D72F5"/>
    <w:rsid w:val="005E08D4"/>
    <w:rsid w:val="005E0933"/>
    <w:rsid w:val="005E2A1F"/>
    <w:rsid w:val="005E37DF"/>
    <w:rsid w:val="005E4A3C"/>
    <w:rsid w:val="005E5F4C"/>
    <w:rsid w:val="005E6C6C"/>
    <w:rsid w:val="005F0977"/>
    <w:rsid w:val="005F0E0E"/>
    <w:rsid w:val="005F1527"/>
    <w:rsid w:val="005F1A43"/>
    <w:rsid w:val="005F1B2C"/>
    <w:rsid w:val="005F2280"/>
    <w:rsid w:val="005F30DD"/>
    <w:rsid w:val="005F3281"/>
    <w:rsid w:val="005F3BF5"/>
    <w:rsid w:val="005F3CAD"/>
    <w:rsid w:val="005F4139"/>
    <w:rsid w:val="005F4BDF"/>
    <w:rsid w:val="005F51EA"/>
    <w:rsid w:val="005F5463"/>
    <w:rsid w:val="005F7EC3"/>
    <w:rsid w:val="005F7FBB"/>
    <w:rsid w:val="006010FD"/>
    <w:rsid w:val="00601EE8"/>
    <w:rsid w:val="00603A94"/>
    <w:rsid w:val="00604259"/>
    <w:rsid w:val="00605CEF"/>
    <w:rsid w:val="0060703D"/>
    <w:rsid w:val="00610A14"/>
    <w:rsid w:val="00610A18"/>
    <w:rsid w:val="00611193"/>
    <w:rsid w:val="0061198B"/>
    <w:rsid w:val="00611993"/>
    <w:rsid w:val="00611A9D"/>
    <w:rsid w:val="00612D9D"/>
    <w:rsid w:val="006159EA"/>
    <w:rsid w:val="00615CC9"/>
    <w:rsid w:val="00615FD3"/>
    <w:rsid w:val="0061799D"/>
    <w:rsid w:val="00617EE3"/>
    <w:rsid w:val="00620849"/>
    <w:rsid w:val="0062114A"/>
    <w:rsid w:val="00621521"/>
    <w:rsid w:val="00621FEC"/>
    <w:rsid w:val="006237BD"/>
    <w:rsid w:val="00623C7D"/>
    <w:rsid w:val="006246FF"/>
    <w:rsid w:val="00624A2E"/>
    <w:rsid w:val="00624F25"/>
    <w:rsid w:val="006252A8"/>
    <w:rsid w:val="006254E4"/>
    <w:rsid w:val="00625762"/>
    <w:rsid w:val="00626C69"/>
    <w:rsid w:val="00627D2B"/>
    <w:rsid w:val="00630051"/>
    <w:rsid w:val="00630362"/>
    <w:rsid w:val="00631699"/>
    <w:rsid w:val="00631D4F"/>
    <w:rsid w:val="006333BD"/>
    <w:rsid w:val="00634070"/>
    <w:rsid w:val="00635238"/>
    <w:rsid w:val="00635290"/>
    <w:rsid w:val="00636446"/>
    <w:rsid w:val="00636491"/>
    <w:rsid w:val="0063750D"/>
    <w:rsid w:val="00637707"/>
    <w:rsid w:val="00640EF3"/>
    <w:rsid w:val="0064117B"/>
    <w:rsid w:val="006414C8"/>
    <w:rsid w:val="006428C9"/>
    <w:rsid w:val="00646307"/>
    <w:rsid w:val="00647FA4"/>
    <w:rsid w:val="006501DD"/>
    <w:rsid w:val="00650589"/>
    <w:rsid w:val="00652F4F"/>
    <w:rsid w:val="006531A6"/>
    <w:rsid w:val="00653E7D"/>
    <w:rsid w:val="0065425C"/>
    <w:rsid w:val="00654B1E"/>
    <w:rsid w:val="00656617"/>
    <w:rsid w:val="00657113"/>
    <w:rsid w:val="0066062D"/>
    <w:rsid w:val="00660783"/>
    <w:rsid w:val="00661ED9"/>
    <w:rsid w:val="00662E33"/>
    <w:rsid w:val="0066450C"/>
    <w:rsid w:val="0066464C"/>
    <w:rsid w:val="00664B7E"/>
    <w:rsid w:val="00666B2C"/>
    <w:rsid w:val="006702D7"/>
    <w:rsid w:val="00671130"/>
    <w:rsid w:val="006711DF"/>
    <w:rsid w:val="00671322"/>
    <w:rsid w:val="00671836"/>
    <w:rsid w:val="00671CF3"/>
    <w:rsid w:val="00671EE0"/>
    <w:rsid w:val="00672A2F"/>
    <w:rsid w:val="00673996"/>
    <w:rsid w:val="00673D81"/>
    <w:rsid w:val="00674DC8"/>
    <w:rsid w:val="0067603A"/>
    <w:rsid w:val="00676061"/>
    <w:rsid w:val="00676691"/>
    <w:rsid w:val="00677534"/>
    <w:rsid w:val="00677AC8"/>
    <w:rsid w:val="0068017C"/>
    <w:rsid w:val="00680771"/>
    <w:rsid w:val="0068295E"/>
    <w:rsid w:val="00684565"/>
    <w:rsid w:val="0068527F"/>
    <w:rsid w:val="00685D21"/>
    <w:rsid w:val="006865B8"/>
    <w:rsid w:val="006875A3"/>
    <w:rsid w:val="00687A88"/>
    <w:rsid w:val="00690887"/>
    <w:rsid w:val="00690F64"/>
    <w:rsid w:val="00691974"/>
    <w:rsid w:val="00692C9B"/>
    <w:rsid w:val="006937D2"/>
    <w:rsid w:val="00693B67"/>
    <w:rsid w:val="00693C79"/>
    <w:rsid w:val="00693EEC"/>
    <w:rsid w:val="00696434"/>
    <w:rsid w:val="00697918"/>
    <w:rsid w:val="00697C5D"/>
    <w:rsid w:val="006A027B"/>
    <w:rsid w:val="006A0D5C"/>
    <w:rsid w:val="006A21B0"/>
    <w:rsid w:val="006A23CF"/>
    <w:rsid w:val="006A2C59"/>
    <w:rsid w:val="006A302C"/>
    <w:rsid w:val="006A3A5A"/>
    <w:rsid w:val="006A3C79"/>
    <w:rsid w:val="006A4B73"/>
    <w:rsid w:val="006A4E55"/>
    <w:rsid w:val="006A4E63"/>
    <w:rsid w:val="006A5964"/>
    <w:rsid w:val="006A615B"/>
    <w:rsid w:val="006A619E"/>
    <w:rsid w:val="006A6814"/>
    <w:rsid w:val="006A6BBA"/>
    <w:rsid w:val="006A798C"/>
    <w:rsid w:val="006B0DDF"/>
    <w:rsid w:val="006B121F"/>
    <w:rsid w:val="006B28E7"/>
    <w:rsid w:val="006B3769"/>
    <w:rsid w:val="006B3A7B"/>
    <w:rsid w:val="006B4296"/>
    <w:rsid w:val="006B4831"/>
    <w:rsid w:val="006B4E21"/>
    <w:rsid w:val="006B54F3"/>
    <w:rsid w:val="006B5EA4"/>
    <w:rsid w:val="006B6377"/>
    <w:rsid w:val="006B68BB"/>
    <w:rsid w:val="006B7E10"/>
    <w:rsid w:val="006B7F12"/>
    <w:rsid w:val="006C0541"/>
    <w:rsid w:val="006C0871"/>
    <w:rsid w:val="006C1B04"/>
    <w:rsid w:val="006C374E"/>
    <w:rsid w:val="006C4017"/>
    <w:rsid w:val="006C54EF"/>
    <w:rsid w:val="006C60E8"/>
    <w:rsid w:val="006C7624"/>
    <w:rsid w:val="006D00C5"/>
    <w:rsid w:val="006D0D2F"/>
    <w:rsid w:val="006D0F53"/>
    <w:rsid w:val="006D1A01"/>
    <w:rsid w:val="006D4213"/>
    <w:rsid w:val="006D5A1A"/>
    <w:rsid w:val="006D5B60"/>
    <w:rsid w:val="006D78C2"/>
    <w:rsid w:val="006D7CCB"/>
    <w:rsid w:val="006E09C3"/>
    <w:rsid w:val="006E0CB8"/>
    <w:rsid w:val="006E150F"/>
    <w:rsid w:val="006E18B0"/>
    <w:rsid w:val="006E2170"/>
    <w:rsid w:val="006E21B8"/>
    <w:rsid w:val="006E22E8"/>
    <w:rsid w:val="006E4F47"/>
    <w:rsid w:val="006E5A66"/>
    <w:rsid w:val="006E5E73"/>
    <w:rsid w:val="006E64EF"/>
    <w:rsid w:val="006E6F98"/>
    <w:rsid w:val="006F0D58"/>
    <w:rsid w:val="006F0DA9"/>
    <w:rsid w:val="006F20B3"/>
    <w:rsid w:val="006F257E"/>
    <w:rsid w:val="006F4248"/>
    <w:rsid w:val="006F69E8"/>
    <w:rsid w:val="006F6ABD"/>
    <w:rsid w:val="006F6BBC"/>
    <w:rsid w:val="006F7EA3"/>
    <w:rsid w:val="007003B4"/>
    <w:rsid w:val="0070145B"/>
    <w:rsid w:val="007028FC"/>
    <w:rsid w:val="0070335C"/>
    <w:rsid w:val="0070477D"/>
    <w:rsid w:val="007057D4"/>
    <w:rsid w:val="0070618E"/>
    <w:rsid w:val="0070645C"/>
    <w:rsid w:val="00706739"/>
    <w:rsid w:val="00706BC4"/>
    <w:rsid w:val="007101D7"/>
    <w:rsid w:val="00710647"/>
    <w:rsid w:val="0071071B"/>
    <w:rsid w:val="007116D5"/>
    <w:rsid w:val="00713C4A"/>
    <w:rsid w:val="00713D7A"/>
    <w:rsid w:val="0071423E"/>
    <w:rsid w:val="00716414"/>
    <w:rsid w:val="0071735B"/>
    <w:rsid w:val="007175EA"/>
    <w:rsid w:val="007205F9"/>
    <w:rsid w:val="00720A8C"/>
    <w:rsid w:val="007211D5"/>
    <w:rsid w:val="00721C2D"/>
    <w:rsid w:val="0072235C"/>
    <w:rsid w:val="00730042"/>
    <w:rsid w:val="00731920"/>
    <w:rsid w:val="0073263E"/>
    <w:rsid w:val="00732F64"/>
    <w:rsid w:val="007335EA"/>
    <w:rsid w:val="0073390D"/>
    <w:rsid w:val="00733EF4"/>
    <w:rsid w:val="00734472"/>
    <w:rsid w:val="007344D7"/>
    <w:rsid w:val="00734784"/>
    <w:rsid w:val="0073481E"/>
    <w:rsid w:val="00734972"/>
    <w:rsid w:val="00736420"/>
    <w:rsid w:val="00736E5D"/>
    <w:rsid w:val="007402DD"/>
    <w:rsid w:val="0074185C"/>
    <w:rsid w:val="00741F00"/>
    <w:rsid w:val="00743F80"/>
    <w:rsid w:val="007462C4"/>
    <w:rsid w:val="00746EC4"/>
    <w:rsid w:val="00747690"/>
    <w:rsid w:val="007476C8"/>
    <w:rsid w:val="00750947"/>
    <w:rsid w:val="007512A9"/>
    <w:rsid w:val="00751B36"/>
    <w:rsid w:val="0075211F"/>
    <w:rsid w:val="0075251B"/>
    <w:rsid w:val="00752D5D"/>
    <w:rsid w:val="00753523"/>
    <w:rsid w:val="00754BB3"/>
    <w:rsid w:val="007559D1"/>
    <w:rsid w:val="0075652C"/>
    <w:rsid w:val="007565DD"/>
    <w:rsid w:val="00757550"/>
    <w:rsid w:val="00757ADE"/>
    <w:rsid w:val="0076070C"/>
    <w:rsid w:val="00761692"/>
    <w:rsid w:val="00762060"/>
    <w:rsid w:val="007634C9"/>
    <w:rsid w:val="00763EDE"/>
    <w:rsid w:val="00764D8C"/>
    <w:rsid w:val="00765200"/>
    <w:rsid w:val="007664EC"/>
    <w:rsid w:val="00766B78"/>
    <w:rsid w:val="00770002"/>
    <w:rsid w:val="007702EA"/>
    <w:rsid w:val="00770614"/>
    <w:rsid w:val="00771243"/>
    <w:rsid w:val="00771CBF"/>
    <w:rsid w:val="00772337"/>
    <w:rsid w:val="00773309"/>
    <w:rsid w:val="0077351E"/>
    <w:rsid w:val="00773BFE"/>
    <w:rsid w:val="00774223"/>
    <w:rsid w:val="0077422D"/>
    <w:rsid w:val="00774664"/>
    <w:rsid w:val="00774DCE"/>
    <w:rsid w:val="007764E6"/>
    <w:rsid w:val="00776CD6"/>
    <w:rsid w:val="007779EE"/>
    <w:rsid w:val="00777A51"/>
    <w:rsid w:val="00777FF4"/>
    <w:rsid w:val="00780306"/>
    <w:rsid w:val="007808C2"/>
    <w:rsid w:val="00780F53"/>
    <w:rsid w:val="00781270"/>
    <w:rsid w:val="007816BB"/>
    <w:rsid w:val="007821BE"/>
    <w:rsid w:val="00782848"/>
    <w:rsid w:val="00782F48"/>
    <w:rsid w:val="00783EAE"/>
    <w:rsid w:val="00784939"/>
    <w:rsid w:val="00784A92"/>
    <w:rsid w:val="00784CB5"/>
    <w:rsid w:val="00784D12"/>
    <w:rsid w:val="00785F98"/>
    <w:rsid w:val="00787264"/>
    <w:rsid w:val="00787B98"/>
    <w:rsid w:val="00787E0E"/>
    <w:rsid w:val="00790BD4"/>
    <w:rsid w:val="00790DFC"/>
    <w:rsid w:val="007910BD"/>
    <w:rsid w:val="0079198B"/>
    <w:rsid w:val="007944A3"/>
    <w:rsid w:val="00794DA2"/>
    <w:rsid w:val="0079543C"/>
    <w:rsid w:val="00796D4B"/>
    <w:rsid w:val="007976DA"/>
    <w:rsid w:val="007979D3"/>
    <w:rsid w:val="007A07C2"/>
    <w:rsid w:val="007A07E2"/>
    <w:rsid w:val="007A0962"/>
    <w:rsid w:val="007A292D"/>
    <w:rsid w:val="007A2AA6"/>
    <w:rsid w:val="007A3E0C"/>
    <w:rsid w:val="007A3FDF"/>
    <w:rsid w:val="007A42D4"/>
    <w:rsid w:val="007A4523"/>
    <w:rsid w:val="007A4D4E"/>
    <w:rsid w:val="007A4D77"/>
    <w:rsid w:val="007A5235"/>
    <w:rsid w:val="007A5330"/>
    <w:rsid w:val="007A6011"/>
    <w:rsid w:val="007A6172"/>
    <w:rsid w:val="007A7B63"/>
    <w:rsid w:val="007A7C63"/>
    <w:rsid w:val="007B0A49"/>
    <w:rsid w:val="007B290C"/>
    <w:rsid w:val="007B3D5B"/>
    <w:rsid w:val="007B4EBF"/>
    <w:rsid w:val="007B6329"/>
    <w:rsid w:val="007B6B5B"/>
    <w:rsid w:val="007B71B3"/>
    <w:rsid w:val="007C0A32"/>
    <w:rsid w:val="007C16EA"/>
    <w:rsid w:val="007C2140"/>
    <w:rsid w:val="007C262F"/>
    <w:rsid w:val="007C312F"/>
    <w:rsid w:val="007C506A"/>
    <w:rsid w:val="007C580E"/>
    <w:rsid w:val="007C6A13"/>
    <w:rsid w:val="007C7B8B"/>
    <w:rsid w:val="007C7D27"/>
    <w:rsid w:val="007D1A7A"/>
    <w:rsid w:val="007D2722"/>
    <w:rsid w:val="007D2ECB"/>
    <w:rsid w:val="007D43CF"/>
    <w:rsid w:val="007D50EC"/>
    <w:rsid w:val="007D52FF"/>
    <w:rsid w:val="007D5815"/>
    <w:rsid w:val="007D5CD1"/>
    <w:rsid w:val="007D6D09"/>
    <w:rsid w:val="007D730A"/>
    <w:rsid w:val="007D7D32"/>
    <w:rsid w:val="007D7E9C"/>
    <w:rsid w:val="007D7F7E"/>
    <w:rsid w:val="007E0455"/>
    <w:rsid w:val="007E1B3E"/>
    <w:rsid w:val="007E22DB"/>
    <w:rsid w:val="007E2612"/>
    <w:rsid w:val="007E3A6B"/>
    <w:rsid w:val="007E4BBE"/>
    <w:rsid w:val="007E4E15"/>
    <w:rsid w:val="007E5453"/>
    <w:rsid w:val="007E56F3"/>
    <w:rsid w:val="007E6661"/>
    <w:rsid w:val="007E70C9"/>
    <w:rsid w:val="007E7951"/>
    <w:rsid w:val="007E7E03"/>
    <w:rsid w:val="007F0734"/>
    <w:rsid w:val="007F0EE1"/>
    <w:rsid w:val="007F1072"/>
    <w:rsid w:val="007F3352"/>
    <w:rsid w:val="007F4054"/>
    <w:rsid w:val="007F4735"/>
    <w:rsid w:val="007F695A"/>
    <w:rsid w:val="007F7605"/>
    <w:rsid w:val="008001EE"/>
    <w:rsid w:val="008004FC"/>
    <w:rsid w:val="00800C09"/>
    <w:rsid w:val="00801655"/>
    <w:rsid w:val="00801868"/>
    <w:rsid w:val="008026F0"/>
    <w:rsid w:val="00802B84"/>
    <w:rsid w:val="008052C5"/>
    <w:rsid w:val="00807CC0"/>
    <w:rsid w:val="00810B19"/>
    <w:rsid w:val="00811171"/>
    <w:rsid w:val="00811384"/>
    <w:rsid w:val="00811A51"/>
    <w:rsid w:val="00811E77"/>
    <w:rsid w:val="008135BB"/>
    <w:rsid w:val="00813C51"/>
    <w:rsid w:val="0081423A"/>
    <w:rsid w:val="00814EF4"/>
    <w:rsid w:val="00815B04"/>
    <w:rsid w:val="00815CA8"/>
    <w:rsid w:val="008209B5"/>
    <w:rsid w:val="00824D8C"/>
    <w:rsid w:val="0082609F"/>
    <w:rsid w:val="00826F81"/>
    <w:rsid w:val="00831A20"/>
    <w:rsid w:val="00831EA0"/>
    <w:rsid w:val="008327E8"/>
    <w:rsid w:val="00833D2C"/>
    <w:rsid w:val="00833FB9"/>
    <w:rsid w:val="00834BD8"/>
    <w:rsid w:val="00835940"/>
    <w:rsid w:val="00837A44"/>
    <w:rsid w:val="00837E6B"/>
    <w:rsid w:val="00841EB2"/>
    <w:rsid w:val="00841EFC"/>
    <w:rsid w:val="00842740"/>
    <w:rsid w:val="00843E11"/>
    <w:rsid w:val="00844CA6"/>
    <w:rsid w:val="00845441"/>
    <w:rsid w:val="00846AB4"/>
    <w:rsid w:val="00847F9E"/>
    <w:rsid w:val="00850159"/>
    <w:rsid w:val="008510F4"/>
    <w:rsid w:val="00851AE4"/>
    <w:rsid w:val="00852A3F"/>
    <w:rsid w:val="00852BA9"/>
    <w:rsid w:val="0085325C"/>
    <w:rsid w:val="0085411A"/>
    <w:rsid w:val="008546C3"/>
    <w:rsid w:val="00854865"/>
    <w:rsid w:val="00854FC5"/>
    <w:rsid w:val="00855722"/>
    <w:rsid w:val="00855831"/>
    <w:rsid w:val="008561C9"/>
    <w:rsid w:val="00856506"/>
    <w:rsid w:val="0086015D"/>
    <w:rsid w:val="008608D1"/>
    <w:rsid w:val="008622D7"/>
    <w:rsid w:val="00862B9D"/>
    <w:rsid w:val="008635D5"/>
    <w:rsid w:val="0086425F"/>
    <w:rsid w:val="00864780"/>
    <w:rsid w:val="00864C49"/>
    <w:rsid w:val="008655B1"/>
    <w:rsid w:val="00865E49"/>
    <w:rsid w:val="00866DA0"/>
    <w:rsid w:val="008672B9"/>
    <w:rsid w:val="0087013F"/>
    <w:rsid w:val="0087041F"/>
    <w:rsid w:val="00871F9E"/>
    <w:rsid w:val="00872068"/>
    <w:rsid w:val="00872273"/>
    <w:rsid w:val="00872672"/>
    <w:rsid w:val="00872983"/>
    <w:rsid w:val="00872A08"/>
    <w:rsid w:val="008758A1"/>
    <w:rsid w:val="008778FF"/>
    <w:rsid w:val="008825E9"/>
    <w:rsid w:val="008825FA"/>
    <w:rsid w:val="008842C9"/>
    <w:rsid w:val="00884A1F"/>
    <w:rsid w:val="008859F7"/>
    <w:rsid w:val="00885B97"/>
    <w:rsid w:val="00886B70"/>
    <w:rsid w:val="00892049"/>
    <w:rsid w:val="00892091"/>
    <w:rsid w:val="00893291"/>
    <w:rsid w:val="008934FD"/>
    <w:rsid w:val="00895657"/>
    <w:rsid w:val="00895FDE"/>
    <w:rsid w:val="00896E1D"/>
    <w:rsid w:val="00897151"/>
    <w:rsid w:val="00897A98"/>
    <w:rsid w:val="008A3615"/>
    <w:rsid w:val="008A41EE"/>
    <w:rsid w:val="008A5155"/>
    <w:rsid w:val="008A523D"/>
    <w:rsid w:val="008A5315"/>
    <w:rsid w:val="008A565B"/>
    <w:rsid w:val="008A5DBB"/>
    <w:rsid w:val="008A6A22"/>
    <w:rsid w:val="008A6F32"/>
    <w:rsid w:val="008A7808"/>
    <w:rsid w:val="008B0084"/>
    <w:rsid w:val="008B12F3"/>
    <w:rsid w:val="008B2138"/>
    <w:rsid w:val="008B4694"/>
    <w:rsid w:val="008B4962"/>
    <w:rsid w:val="008B6A43"/>
    <w:rsid w:val="008B6F83"/>
    <w:rsid w:val="008B722C"/>
    <w:rsid w:val="008C0811"/>
    <w:rsid w:val="008C14A1"/>
    <w:rsid w:val="008C1CF4"/>
    <w:rsid w:val="008C1E87"/>
    <w:rsid w:val="008C1FE2"/>
    <w:rsid w:val="008C2143"/>
    <w:rsid w:val="008C2DB7"/>
    <w:rsid w:val="008C2DEA"/>
    <w:rsid w:val="008C48F5"/>
    <w:rsid w:val="008C4F51"/>
    <w:rsid w:val="008C58DB"/>
    <w:rsid w:val="008C5E59"/>
    <w:rsid w:val="008C69A0"/>
    <w:rsid w:val="008C6D43"/>
    <w:rsid w:val="008C7CAA"/>
    <w:rsid w:val="008C7DA6"/>
    <w:rsid w:val="008D0B94"/>
    <w:rsid w:val="008D0DD0"/>
    <w:rsid w:val="008D1487"/>
    <w:rsid w:val="008D18E2"/>
    <w:rsid w:val="008D1E8E"/>
    <w:rsid w:val="008D23EE"/>
    <w:rsid w:val="008D2E56"/>
    <w:rsid w:val="008D3B52"/>
    <w:rsid w:val="008D3BEF"/>
    <w:rsid w:val="008D4A57"/>
    <w:rsid w:val="008D51C5"/>
    <w:rsid w:val="008D5BC1"/>
    <w:rsid w:val="008D628A"/>
    <w:rsid w:val="008D7F69"/>
    <w:rsid w:val="008E002A"/>
    <w:rsid w:val="008E0C77"/>
    <w:rsid w:val="008E0CC1"/>
    <w:rsid w:val="008E1601"/>
    <w:rsid w:val="008E1929"/>
    <w:rsid w:val="008E2271"/>
    <w:rsid w:val="008E29B7"/>
    <w:rsid w:val="008E3B99"/>
    <w:rsid w:val="008E3D49"/>
    <w:rsid w:val="008E561C"/>
    <w:rsid w:val="008E7335"/>
    <w:rsid w:val="008F06FE"/>
    <w:rsid w:val="008F1D63"/>
    <w:rsid w:val="008F1E2F"/>
    <w:rsid w:val="008F4364"/>
    <w:rsid w:val="008F482A"/>
    <w:rsid w:val="008F4EDF"/>
    <w:rsid w:val="008F7B7B"/>
    <w:rsid w:val="0090107A"/>
    <w:rsid w:val="009010E0"/>
    <w:rsid w:val="00901BEA"/>
    <w:rsid w:val="00901C6B"/>
    <w:rsid w:val="009024B2"/>
    <w:rsid w:val="00902761"/>
    <w:rsid w:val="00903073"/>
    <w:rsid w:val="00903446"/>
    <w:rsid w:val="00903547"/>
    <w:rsid w:val="00903D45"/>
    <w:rsid w:val="0090443C"/>
    <w:rsid w:val="00904689"/>
    <w:rsid w:val="0090469A"/>
    <w:rsid w:val="0090553A"/>
    <w:rsid w:val="0090603B"/>
    <w:rsid w:val="0091091F"/>
    <w:rsid w:val="0091142F"/>
    <w:rsid w:val="009121AB"/>
    <w:rsid w:val="00913A5E"/>
    <w:rsid w:val="00913B64"/>
    <w:rsid w:val="00913EE4"/>
    <w:rsid w:val="00914379"/>
    <w:rsid w:val="00914CDA"/>
    <w:rsid w:val="00915AB4"/>
    <w:rsid w:val="00915E12"/>
    <w:rsid w:val="0091665C"/>
    <w:rsid w:val="00920267"/>
    <w:rsid w:val="00923E62"/>
    <w:rsid w:val="009243A2"/>
    <w:rsid w:val="00924B2E"/>
    <w:rsid w:val="0092523D"/>
    <w:rsid w:val="009259ED"/>
    <w:rsid w:val="00925BF8"/>
    <w:rsid w:val="00926667"/>
    <w:rsid w:val="00926A53"/>
    <w:rsid w:val="009274E3"/>
    <w:rsid w:val="0093015B"/>
    <w:rsid w:val="0093052D"/>
    <w:rsid w:val="0093183C"/>
    <w:rsid w:val="00931E1F"/>
    <w:rsid w:val="00932556"/>
    <w:rsid w:val="009329C0"/>
    <w:rsid w:val="00932CB8"/>
    <w:rsid w:val="00932E04"/>
    <w:rsid w:val="009345F6"/>
    <w:rsid w:val="00934956"/>
    <w:rsid w:val="00937361"/>
    <w:rsid w:val="009373C1"/>
    <w:rsid w:val="00941793"/>
    <w:rsid w:val="00941857"/>
    <w:rsid w:val="009438A2"/>
    <w:rsid w:val="00943A0A"/>
    <w:rsid w:val="00944202"/>
    <w:rsid w:val="009446E3"/>
    <w:rsid w:val="00945095"/>
    <w:rsid w:val="00950451"/>
    <w:rsid w:val="00951163"/>
    <w:rsid w:val="0095292F"/>
    <w:rsid w:val="00953405"/>
    <w:rsid w:val="009553E7"/>
    <w:rsid w:val="00955E63"/>
    <w:rsid w:val="0095609B"/>
    <w:rsid w:val="00956EA7"/>
    <w:rsid w:val="00957E2E"/>
    <w:rsid w:val="00957FC6"/>
    <w:rsid w:val="009618CA"/>
    <w:rsid w:val="009624E8"/>
    <w:rsid w:val="009625A9"/>
    <w:rsid w:val="00962CC6"/>
    <w:rsid w:val="00962E04"/>
    <w:rsid w:val="00965C93"/>
    <w:rsid w:val="0096656A"/>
    <w:rsid w:val="00966927"/>
    <w:rsid w:val="009671E3"/>
    <w:rsid w:val="00967BBF"/>
    <w:rsid w:val="009705E9"/>
    <w:rsid w:val="009708FD"/>
    <w:rsid w:val="0097094F"/>
    <w:rsid w:val="00973FC1"/>
    <w:rsid w:val="00974755"/>
    <w:rsid w:val="00974ACD"/>
    <w:rsid w:val="00975774"/>
    <w:rsid w:val="009764A8"/>
    <w:rsid w:val="00976797"/>
    <w:rsid w:val="00977015"/>
    <w:rsid w:val="0097738F"/>
    <w:rsid w:val="00977A3D"/>
    <w:rsid w:val="00977C0A"/>
    <w:rsid w:val="00977E96"/>
    <w:rsid w:val="00981071"/>
    <w:rsid w:val="0098322A"/>
    <w:rsid w:val="009834FA"/>
    <w:rsid w:val="0098418E"/>
    <w:rsid w:val="009842CB"/>
    <w:rsid w:val="00984322"/>
    <w:rsid w:val="00984353"/>
    <w:rsid w:val="00984D2E"/>
    <w:rsid w:val="009854BF"/>
    <w:rsid w:val="00985655"/>
    <w:rsid w:val="00985674"/>
    <w:rsid w:val="00985B26"/>
    <w:rsid w:val="00985E32"/>
    <w:rsid w:val="00985FBE"/>
    <w:rsid w:val="00986ED1"/>
    <w:rsid w:val="009873C8"/>
    <w:rsid w:val="0099049F"/>
    <w:rsid w:val="00991839"/>
    <w:rsid w:val="00993097"/>
    <w:rsid w:val="00993B20"/>
    <w:rsid w:val="009A033F"/>
    <w:rsid w:val="009A091D"/>
    <w:rsid w:val="009A19AA"/>
    <w:rsid w:val="009A1DDF"/>
    <w:rsid w:val="009A244E"/>
    <w:rsid w:val="009A24B5"/>
    <w:rsid w:val="009A2BBA"/>
    <w:rsid w:val="009A37FE"/>
    <w:rsid w:val="009A3906"/>
    <w:rsid w:val="009A74E4"/>
    <w:rsid w:val="009A7CC9"/>
    <w:rsid w:val="009B0335"/>
    <w:rsid w:val="009B0A5E"/>
    <w:rsid w:val="009B0D1A"/>
    <w:rsid w:val="009B13C3"/>
    <w:rsid w:val="009B1506"/>
    <w:rsid w:val="009B1A63"/>
    <w:rsid w:val="009B2556"/>
    <w:rsid w:val="009B2DB3"/>
    <w:rsid w:val="009B358E"/>
    <w:rsid w:val="009B3A42"/>
    <w:rsid w:val="009B3DE0"/>
    <w:rsid w:val="009B4616"/>
    <w:rsid w:val="009B4680"/>
    <w:rsid w:val="009B4958"/>
    <w:rsid w:val="009B62B3"/>
    <w:rsid w:val="009B6FC3"/>
    <w:rsid w:val="009B726E"/>
    <w:rsid w:val="009C1748"/>
    <w:rsid w:val="009C23FF"/>
    <w:rsid w:val="009C258E"/>
    <w:rsid w:val="009C2B11"/>
    <w:rsid w:val="009C3060"/>
    <w:rsid w:val="009C35C3"/>
    <w:rsid w:val="009C4DE7"/>
    <w:rsid w:val="009C5245"/>
    <w:rsid w:val="009C5730"/>
    <w:rsid w:val="009C5CFC"/>
    <w:rsid w:val="009C724B"/>
    <w:rsid w:val="009C73EA"/>
    <w:rsid w:val="009D021F"/>
    <w:rsid w:val="009D09F1"/>
    <w:rsid w:val="009D0DB3"/>
    <w:rsid w:val="009D192D"/>
    <w:rsid w:val="009D21B3"/>
    <w:rsid w:val="009D2719"/>
    <w:rsid w:val="009D3209"/>
    <w:rsid w:val="009D3A5F"/>
    <w:rsid w:val="009D4A36"/>
    <w:rsid w:val="009D5490"/>
    <w:rsid w:val="009D5F29"/>
    <w:rsid w:val="009D7E0C"/>
    <w:rsid w:val="009E062D"/>
    <w:rsid w:val="009E0DF6"/>
    <w:rsid w:val="009E1525"/>
    <w:rsid w:val="009E26D9"/>
    <w:rsid w:val="009E2D7F"/>
    <w:rsid w:val="009E3756"/>
    <w:rsid w:val="009E472B"/>
    <w:rsid w:val="009E528D"/>
    <w:rsid w:val="009E5D43"/>
    <w:rsid w:val="009F038C"/>
    <w:rsid w:val="009F0E04"/>
    <w:rsid w:val="009F3987"/>
    <w:rsid w:val="009F3B64"/>
    <w:rsid w:val="009F575E"/>
    <w:rsid w:val="009F5BA1"/>
    <w:rsid w:val="009F5C40"/>
    <w:rsid w:val="009F6F8D"/>
    <w:rsid w:val="009F724F"/>
    <w:rsid w:val="00A00C58"/>
    <w:rsid w:val="00A01953"/>
    <w:rsid w:val="00A02649"/>
    <w:rsid w:val="00A0375A"/>
    <w:rsid w:val="00A03869"/>
    <w:rsid w:val="00A03D52"/>
    <w:rsid w:val="00A063AB"/>
    <w:rsid w:val="00A07619"/>
    <w:rsid w:val="00A10B8A"/>
    <w:rsid w:val="00A122FC"/>
    <w:rsid w:val="00A1372A"/>
    <w:rsid w:val="00A13F2A"/>
    <w:rsid w:val="00A147A2"/>
    <w:rsid w:val="00A14A94"/>
    <w:rsid w:val="00A154C4"/>
    <w:rsid w:val="00A15B24"/>
    <w:rsid w:val="00A15F9B"/>
    <w:rsid w:val="00A200A1"/>
    <w:rsid w:val="00A2047A"/>
    <w:rsid w:val="00A21279"/>
    <w:rsid w:val="00A21897"/>
    <w:rsid w:val="00A21BCC"/>
    <w:rsid w:val="00A2323D"/>
    <w:rsid w:val="00A23C98"/>
    <w:rsid w:val="00A24427"/>
    <w:rsid w:val="00A25460"/>
    <w:rsid w:val="00A26FDF"/>
    <w:rsid w:val="00A2797E"/>
    <w:rsid w:val="00A30F6A"/>
    <w:rsid w:val="00A31053"/>
    <w:rsid w:val="00A31E08"/>
    <w:rsid w:val="00A32CD9"/>
    <w:rsid w:val="00A334EF"/>
    <w:rsid w:val="00A3393D"/>
    <w:rsid w:val="00A33D86"/>
    <w:rsid w:val="00A35D88"/>
    <w:rsid w:val="00A371C6"/>
    <w:rsid w:val="00A372E0"/>
    <w:rsid w:val="00A37857"/>
    <w:rsid w:val="00A41F75"/>
    <w:rsid w:val="00A424A5"/>
    <w:rsid w:val="00A42965"/>
    <w:rsid w:val="00A42993"/>
    <w:rsid w:val="00A43FF2"/>
    <w:rsid w:val="00A44AF4"/>
    <w:rsid w:val="00A4618D"/>
    <w:rsid w:val="00A469B7"/>
    <w:rsid w:val="00A476CD"/>
    <w:rsid w:val="00A50104"/>
    <w:rsid w:val="00A5015A"/>
    <w:rsid w:val="00A5292A"/>
    <w:rsid w:val="00A54504"/>
    <w:rsid w:val="00A54BFD"/>
    <w:rsid w:val="00A56771"/>
    <w:rsid w:val="00A56B46"/>
    <w:rsid w:val="00A56B98"/>
    <w:rsid w:val="00A572D8"/>
    <w:rsid w:val="00A57B9A"/>
    <w:rsid w:val="00A57C1B"/>
    <w:rsid w:val="00A57E7E"/>
    <w:rsid w:val="00A61073"/>
    <w:rsid w:val="00A6278B"/>
    <w:rsid w:val="00A6385D"/>
    <w:rsid w:val="00A64280"/>
    <w:rsid w:val="00A646D6"/>
    <w:rsid w:val="00A6555B"/>
    <w:rsid w:val="00A655C8"/>
    <w:rsid w:val="00A65F17"/>
    <w:rsid w:val="00A6661E"/>
    <w:rsid w:val="00A70E86"/>
    <w:rsid w:val="00A72450"/>
    <w:rsid w:val="00A74313"/>
    <w:rsid w:val="00A75DED"/>
    <w:rsid w:val="00A767C5"/>
    <w:rsid w:val="00A771D9"/>
    <w:rsid w:val="00A8177D"/>
    <w:rsid w:val="00A82090"/>
    <w:rsid w:val="00A8242E"/>
    <w:rsid w:val="00A832E0"/>
    <w:rsid w:val="00A83AD5"/>
    <w:rsid w:val="00A87B52"/>
    <w:rsid w:val="00A90D65"/>
    <w:rsid w:val="00A929DA"/>
    <w:rsid w:val="00A9329B"/>
    <w:rsid w:val="00A933CB"/>
    <w:rsid w:val="00A948FA"/>
    <w:rsid w:val="00AA1E63"/>
    <w:rsid w:val="00AA24FE"/>
    <w:rsid w:val="00AA44A3"/>
    <w:rsid w:val="00AA4AFB"/>
    <w:rsid w:val="00AA5061"/>
    <w:rsid w:val="00AA58BD"/>
    <w:rsid w:val="00AA6114"/>
    <w:rsid w:val="00AB0E56"/>
    <w:rsid w:val="00AB1573"/>
    <w:rsid w:val="00AB16D1"/>
    <w:rsid w:val="00AB19D3"/>
    <w:rsid w:val="00AB2067"/>
    <w:rsid w:val="00AB4479"/>
    <w:rsid w:val="00AB4BAC"/>
    <w:rsid w:val="00AB50E8"/>
    <w:rsid w:val="00AB5130"/>
    <w:rsid w:val="00AB5C0D"/>
    <w:rsid w:val="00AB69C7"/>
    <w:rsid w:val="00AB73F3"/>
    <w:rsid w:val="00AC1AF6"/>
    <w:rsid w:val="00AC1C0F"/>
    <w:rsid w:val="00AC278D"/>
    <w:rsid w:val="00AC3797"/>
    <w:rsid w:val="00AC3D57"/>
    <w:rsid w:val="00AC40E1"/>
    <w:rsid w:val="00AC5F5E"/>
    <w:rsid w:val="00AC660F"/>
    <w:rsid w:val="00AD006B"/>
    <w:rsid w:val="00AD0658"/>
    <w:rsid w:val="00AD09BA"/>
    <w:rsid w:val="00AD190B"/>
    <w:rsid w:val="00AD1DBE"/>
    <w:rsid w:val="00AD206A"/>
    <w:rsid w:val="00AD2FCD"/>
    <w:rsid w:val="00AD42DF"/>
    <w:rsid w:val="00AD4AEE"/>
    <w:rsid w:val="00AD6112"/>
    <w:rsid w:val="00AD622D"/>
    <w:rsid w:val="00AD63B6"/>
    <w:rsid w:val="00AD674F"/>
    <w:rsid w:val="00AD6AC5"/>
    <w:rsid w:val="00AD70DF"/>
    <w:rsid w:val="00AD7BAE"/>
    <w:rsid w:val="00AE0675"/>
    <w:rsid w:val="00AE0AC7"/>
    <w:rsid w:val="00AE2B97"/>
    <w:rsid w:val="00AE392A"/>
    <w:rsid w:val="00AE4BA9"/>
    <w:rsid w:val="00AE5387"/>
    <w:rsid w:val="00AE5835"/>
    <w:rsid w:val="00AE58CB"/>
    <w:rsid w:val="00AE6127"/>
    <w:rsid w:val="00AE6921"/>
    <w:rsid w:val="00AE7415"/>
    <w:rsid w:val="00AE7686"/>
    <w:rsid w:val="00AE7983"/>
    <w:rsid w:val="00AE7CEB"/>
    <w:rsid w:val="00AE7E73"/>
    <w:rsid w:val="00AE7E96"/>
    <w:rsid w:val="00AF2A9A"/>
    <w:rsid w:val="00AF3347"/>
    <w:rsid w:val="00AF35A4"/>
    <w:rsid w:val="00AF3694"/>
    <w:rsid w:val="00AF3834"/>
    <w:rsid w:val="00AF49AC"/>
    <w:rsid w:val="00AF4B4B"/>
    <w:rsid w:val="00AF5448"/>
    <w:rsid w:val="00AF5815"/>
    <w:rsid w:val="00AF602A"/>
    <w:rsid w:val="00AF63B7"/>
    <w:rsid w:val="00AF7156"/>
    <w:rsid w:val="00AF7A40"/>
    <w:rsid w:val="00B0067E"/>
    <w:rsid w:val="00B018A5"/>
    <w:rsid w:val="00B03268"/>
    <w:rsid w:val="00B0385E"/>
    <w:rsid w:val="00B03BD7"/>
    <w:rsid w:val="00B0504E"/>
    <w:rsid w:val="00B0505F"/>
    <w:rsid w:val="00B051DE"/>
    <w:rsid w:val="00B052AA"/>
    <w:rsid w:val="00B057AC"/>
    <w:rsid w:val="00B06226"/>
    <w:rsid w:val="00B06C70"/>
    <w:rsid w:val="00B10AF9"/>
    <w:rsid w:val="00B10BDF"/>
    <w:rsid w:val="00B11383"/>
    <w:rsid w:val="00B11734"/>
    <w:rsid w:val="00B1202C"/>
    <w:rsid w:val="00B12315"/>
    <w:rsid w:val="00B13E9C"/>
    <w:rsid w:val="00B149F1"/>
    <w:rsid w:val="00B14A39"/>
    <w:rsid w:val="00B157C8"/>
    <w:rsid w:val="00B15B4C"/>
    <w:rsid w:val="00B20C18"/>
    <w:rsid w:val="00B21C06"/>
    <w:rsid w:val="00B220E7"/>
    <w:rsid w:val="00B23616"/>
    <w:rsid w:val="00B24F10"/>
    <w:rsid w:val="00B254B6"/>
    <w:rsid w:val="00B2592D"/>
    <w:rsid w:val="00B2701A"/>
    <w:rsid w:val="00B27AB0"/>
    <w:rsid w:val="00B304ED"/>
    <w:rsid w:val="00B3175C"/>
    <w:rsid w:val="00B32615"/>
    <w:rsid w:val="00B329CC"/>
    <w:rsid w:val="00B33699"/>
    <w:rsid w:val="00B336E1"/>
    <w:rsid w:val="00B33BDA"/>
    <w:rsid w:val="00B33E63"/>
    <w:rsid w:val="00B3416E"/>
    <w:rsid w:val="00B343FE"/>
    <w:rsid w:val="00B349B4"/>
    <w:rsid w:val="00B35255"/>
    <w:rsid w:val="00B35879"/>
    <w:rsid w:val="00B364F4"/>
    <w:rsid w:val="00B36E97"/>
    <w:rsid w:val="00B377D0"/>
    <w:rsid w:val="00B37E8D"/>
    <w:rsid w:val="00B42336"/>
    <w:rsid w:val="00B42775"/>
    <w:rsid w:val="00B4314C"/>
    <w:rsid w:val="00B431B1"/>
    <w:rsid w:val="00B4457C"/>
    <w:rsid w:val="00B448AB"/>
    <w:rsid w:val="00B44C19"/>
    <w:rsid w:val="00B45F72"/>
    <w:rsid w:val="00B47941"/>
    <w:rsid w:val="00B47CBD"/>
    <w:rsid w:val="00B47E9D"/>
    <w:rsid w:val="00B51673"/>
    <w:rsid w:val="00B51856"/>
    <w:rsid w:val="00B51E0E"/>
    <w:rsid w:val="00B51F04"/>
    <w:rsid w:val="00B520BE"/>
    <w:rsid w:val="00B5228C"/>
    <w:rsid w:val="00B52532"/>
    <w:rsid w:val="00B52BA0"/>
    <w:rsid w:val="00B535F4"/>
    <w:rsid w:val="00B5400A"/>
    <w:rsid w:val="00B54229"/>
    <w:rsid w:val="00B556B7"/>
    <w:rsid w:val="00B5671F"/>
    <w:rsid w:val="00B57DAB"/>
    <w:rsid w:val="00B60A00"/>
    <w:rsid w:val="00B6167F"/>
    <w:rsid w:val="00B61768"/>
    <w:rsid w:val="00B62ECE"/>
    <w:rsid w:val="00B63707"/>
    <w:rsid w:val="00B63BA8"/>
    <w:rsid w:val="00B6439C"/>
    <w:rsid w:val="00B64A30"/>
    <w:rsid w:val="00B64AB3"/>
    <w:rsid w:val="00B64F5F"/>
    <w:rsid w:val="00B65C6B"/>
    <w:rsid w:val="00B677DA"/>
    <w:rsid w:val="00B67BD3"/>
    <w:rsid w:val="00B70256"/>
    <w:rsid w:val="00B7180C"/>
    <w:rsid w:val="00B73462"/>
    <w:rsid w:val="00B73D2B"/>
    <w:rsid w:val="00B7521D"/>
    <w:rsid w:val="00B77D71"/>
    <w:rsid w:val="00B80A4E"/>
    <w:rsid w:val="00B80D96"/>
    <w:rsid w:val="00B80FDE"/>
    <w:rsid w:val="00B810D6"/>
    <w:rsid w:val="00B8285C"/>
    <w:rsid w:val="00B83878"/>
    <w:rsid w:val="00B844C6"/>
    <w:rsid w:val="00B84936"/>
    <w:rsid w:val="00B853FB"/>
    <w:rsid w:val="00B8600A"/>
    <w:rsid w:val="00B8614E"/>
    <w:rsid w:val="00B86D8A"/>
    <w:rsid w:val="00B87CE0"/>
    <w:rsid w:val="00B9043F"/>
    <w:rsid w:val="00B90CF3"/>
    <w:rsid w:val="00B92783"/>
    <w:rsid w:val="00B93215"/>
    <w:rsid w:val="00B932CA"/>
    <w:rsid w:val="00B94531"/>
    <w:rsid w:val="00B95017"/>
    <w:rsid w:val="00B951E5"/>
    <w:rsid w:val="00B959E6"/>
    <w:rsid w:val="00B9634B"/>
    <w:rsid w:val="00B966A1"/>
    <w:rsid w:val="00B96D2B"/>
    <w:rsid w:val="00B973A7"/>
    <w:rsid w:val="00B97918"/>
    <w:rsid w:val="00BA07CC"/>
    <w:rsid w:val="00BA0A1C"/>
    <w:rsid w:val="00BA137F"/>
    <w:rsid w:val="00BA13E1"/>
    <w:rsid w:val="00BA1680"/>
    <w:rsid w:val="00BA2A41"/>
    <w:rsid w:val="00BA3164"/>
    <w:rsid w:val="00BA374B"/>
    <w:rsid w:val="00BA5102"/>
    <w:rsid w:val="00BA54F0"/>
    <w:rsid w:val="00BA57EB"/>
    <w:rsid w:val="00BB0236"/>
    <w:rsid w:val="00BB1E8C"/>
    <w:rsid w:val="00BB3F38"/>
    <w:rsid w:val="00BB5187"/>
    <w:rsid w:val="00BB5BA9"/>
    <w:rsid w:val="00BB5EBA"/>
    <w:rsid w:val="00BB6B43"/>
    <w:rsid w:val="00BB7723"/>
    <w:rsid w:val="00BC06B9"/>
    <w:rsid w:val="00BC06FD"/>
    <w:rsid w:val="00BC095F"/>
    <w:rsid w:val="00BC09EF"/>
    <w:rsid w:val="00BC1853"/>
    <w:rsid w:val="00BC1EC9"/>
    <w:rsid w:val="00BC33A3"/>
    <w:rsid w:val="00BC393D"/>
    <w:rsid w:val="00BC3B59"/>
    <w:rsid w:val="00BC5209"/>
    <w:rsid w:val="00BC68D9"/>
    <w:rsid w:val="00BC76C2"/>
    <w:rsid w:val="00BC79DC"/>
    <w:rsid w:val="00BC7D24"/>
    <w:rsid w:val="00BD0138"/>
    <w:rsid w:val="00BD05D0"/>
    <w:rsid w:val="00BD088B"/>
    <w:rsid w:val="00BD0B98"/>
    <w:rsid w:val="00BD0E7B"/>
    <w:rsid w:val="00BD2AB6"/>
    <w:rsid w:val="00BD2B23"/>
    <w:rsid w:val="00BD3B1A"/>
    <w:rsid w:val="00BD5880"/>
    <w:rsid w:val="00BD5EBB"/>
    <w:rsid w:val="00BD6FBE"/>
    <w:rsid w:val="00BE0306"/>
    <w:rsid w:val="00BE03D1"/>
    <w:rsid w:val="00BE0555"/>
    <w:rsid w:val="00BE094A"/>
    <w:rsid w:val="00BE213B"/>
    <w:rsid w:val="00BE287E"/>
    <w:rsid w:val="00BE32AD"/>
    <w:rsid w:val="00BE34CF"/>
    <w:rsid w:val="00BE35F0"/>
    <w:rsid w:val="00BE3CFD"/>
    <w:rsid w:val="00BE4698"/>
    <w:rsid w:val="00BE4831"/>
    <w:rsid w:val="00BE4C50"/>
    <w:rsid w:val="00BE545B"/>
    <w:rsid w:val="00BE5E46"/>
    <w:rsid w:val="00BE67F8"/>
    <w:rsid w:val="00BE73E8"/>
    <w:rsid w:val="00BE7AF8"/>
    <w:rsid w:val="00BF14C7"/>
    <w:rsid w:val="00BF1550"/>
    <w:rsid w:val="00BF3D8D"/>
    <w:rsid w:val="00BF416F"/>
    <w:rsid w:val="00BF5014"/>
    <w:rsid w:val="00BF5108"/>
    <w:rsid w:val="00BF66CB"/>
    <w:rsid w:val="00BF69AC"/>
    <w:rsid w:val="00BF71C2"/>
    <w:rsid w:val="00C0016A"/>
    <w:rsid w:val="00C00AEA"/>
    <w:rsid w:val="00C01643"/>
    <w:rsid w:val="00C01D39"/>
    <w:rsid w:val="00C02BD2"/>
    <w:rsid w:val="00C031F9"/>
    <w:rsid w:val="00C045D7"/>
    <w:rsid w:val="00C0487A"/>
    <w:rsid w:val="00C04F91"/>
    <w:rsid w:val="00C05DED"/>
    <w:rsid w:val="00C060F4"/>
    <w:rsid w:val="00C06406"/>
    <w:rsid w:val="00C06516"/>
    <w:rsid w:val="00C07999"/>
    <w:rsid w:val="00C07D45"/>
    <w:rsid w:val="00C109DC"/>
    <w:rsid w:val="00C10C79"/>
    <w:rsid w:val="00C10D24"/>
    <w:rsid w:val="00C11A34"/>
    <w:rsid w:val="00C12554"/>
    <w:rsid w:val="00C137ED"/>
    <w:rsid w:val="00C14AAD"/>
    <w:rsid w:val="00C1608B"/>
    <w:rsid w:val="00C162B8"/>
    <w:rsid w:val="00C16712"/>
    <w:rsid w:val="00C169E7"/>
    <w:rsid w:val="00C16DF7"/>
    <w:rsid w:val="00C1718D"/>
    <w:rsid w:val="00C17A98"/>
    <w:rsid w:val="00C20CA7"/>
    <w:rsid w:val="00C23A3C"/>
    <w:rsid w:val="00C240F1"/>
    <w:rsid w:val="00C2443F"/>
    <w:rsid w:val="00C25900"/>
    <w:rsid w:val="00C259C4"/>
    <w:rsid w:val="00C26774"/>
    <w:rsid w:val="00C26E3F"/>
    <w:rsid w:val="00C277B2"/>
    <w:rsid w:val="00C30189"/>
    <w:rsid w:val="00C31288"/>
    <w:rsid w:val="00C31492"/>
    <w:rsid w:val="00C3172A"/>
    <w:rsid w:val="00C31E52"/>
    <w:rsid w:val="00C326AC"/>
    <w:rsid w:val="00C33101"/>
    <w:rsid w:val="00C3414C"/>
    <w:rsid w:val="00C3440A"/>
    <w:rsid w:val="00C359E2"/>
    <w:rsid w:val="00C377CE"/>
    <w:rsid w:val="00C37BB8"/>
    <w:rsid w:val="00C40AA4"/>
    <w:rsid w:val="00C410D0"/>
    <w:rsid w:val="00C41583"/>
    <w:rsid w:val="00C424A0"/>
    <w:rsid w:val="00C42CA4"/>
    <w:rsid w:val="00C42EEF"/>
    <w:rsid w:val="00C431FF"/>
    <w:rsid w:val="00C43631"/>
    <w:rsid w:val="00C43AA9"/>
    <w:rsid w:val="00C43B32"/>
    <w:rsid w:val="00C43D42"/>
    <w:rsid w:val="00C44400"/>
    <w:rsid w:val="00C44532"/>
    <w:rsid w:val="00C44FFE"/>
    <w:rsid w:val="00C45362"/>
    <w:rsid w:val="00C46D52"/>
    <w:rsid w:val="00C50B73"/>
    <w:rsid w:val="00C510AA"/>
    <w:rsid w:val="00C514C7"/>
    <w:rsid w:val="00C51B1B"/>
    <w:rsid w:val="00C52C3E"/>
    <w:rsid w:val="00C555C3"/>
    <w:rsid w:val="00C55D68"/>
    <w:rsid w:val="00C561E1"/>
    <w:rsid w:val="00C56585"/>
    <w:rsid w:val="00C571DB"/>
    <w:rsid w:val="00C63057"/>
    <w:rsid w:val="00C634AA"/>
    <w:rsid w:val="00C63A41"/>
    <w:rsid w:val="00C64A4F"/>
    <w:rsid w:val="00C6540E"/>
    <w:rsid w:val="00C65A31"/>
    <w:rsid w:val="00C67004"/>
    <w:rsid w:val="00C70269"/>
    <w:rsid w:val="00C706B4"/>
    <w:rsid w:val="00C70C45"/>
    <w:rsid w:val="00C717E3"/>
    <w:rsid w:val="00C7193D"/>
    <w:rsid w:val="00C71E68"/>
    <w:rsid w:val="00C73105"/>
    <w:rsid w:val="00C74791"/>
    <w:rsid w:val="00C75575"/>
    <w:rsid w:val="00C75BD4"/>
    <w:rsid w:val="00C75F33"/>
    <w:rsid w:val="00C763BA"/>
    <w:rsid w:val="00C767BC"/>
    <w:rsid w:val="00C76916"/>
    <w:rsid w:val="00C76935"/>
    <w:rsid w:val="00C76B12"/>
    <w:rsid w:val="00C773B2"/>
    <w:rsid w:val="00C8110F"/>
    <w:rsid w:val="00C81CFD"/>
    <w:rsid w:val="00C81EB9"/>
    <w:rsid w:val="00C82907"/>
    <w:rsid w:val="00C843D4"/>
    <w:rsid w:val="00C84DF4"/>
    <w:rsid w:val="00C85B1C"/>
    <w:rsid w:val="00C86265"/>
    <w:rsid w:val="00C9210F"/>
    <w:rsid w:val="00C924E2"/>
    <w:rsid w:val="00C92D3D"/>
    <w:rsid w:val="00C92EA8"/>
    <w:rsid w:val="00C931D8"/>
    <w:rsid w:val="00C938C0"/>
    <w:rsid w:val="00C940DF"/>
    <w:rsid w:val="00C941AB"/>
    <w:rsid w:val="00C94F10"/>
    <w:rsid w:val="00C95E9B"/>
    <w:rsid w:val="00C95ED7"/>
    <w:rsid w:val="00C96566"/>
    <w:rsid w:val="00C965B5"/>
    <w:rsid w:val="00C96C0F"/>
    <w:rsid w:val="00C978A5"/>
    <w:rsid w:val="00C979F5"/>
    <w:rsid w:val="00C97C77"/>
    <w:rsid w:val="00CA0FDA"/>
    <w:rsid w:val="00CA1BD3"/>
    <w:rsid w:val="00CA3107"/>
    <w:rsid w:val="00CA5BBD"/>
    <w:rsid w:val="00CA6ABA"/>
    <w:rsid w:val="00CA6CF2"/>
    <w:rsid w:val="00CA74C7"/>
    <w:rsid w:val="00CA75E1"/>
    <w:rsid w:val="00CA7D28"/>
    <w:rsid w:val="00CB011E"/>
    <w:rsid w:val="00CB1881"/>
    <w:rsid w:val="00CB1905"/>
    <w:rsid w:val="00CB1A49"/>
    <w:rsid w:val="00CB1FCD"/>
    <w:rsid w:val="00CB2940"/>
    <w:rsid w:val="00CB2D83"/>
    <w:rsid w:val="00CB32B1"/>
    <w:rsid w:val="00CB3BCC"/>
    <w:rsid w:val="00CB408A"/>
    <w:rsid w:val="00CB47FC"/>
    <w:rsid w:val="00CB51AA"/>
    <w:rsid w:val="00CB5FAF"/>
    <w:rsid w:val="00CB62FF"/>
    <w:rsid w:val="00CB68CC"/>
    <w:rsid w:val="00CB6BEC"/>
    <w:rsid w:val="00CB75BB"/>
    <w:rsid w:val="00CC005B"/>
    <w:rsid w:val="00CC2F37"/>
    <w:rsid w:val="00CC36F1"/>
    <w:rsid w:val="00CC3811"/>
    <w:rsid w:val="00CC55ED"/>
    <w:rsid w:val="00CC641D"/>
    <w:rsid w:val="00CC67DA"/>
    <w:rsid w:val="00CC72D2"/>
    <w:rsid w:val="00CC797F"/>
    <w:rsid w:val="00CC7ABB"/>
    <w:rsid w:val="00CD2E3F"/>
    <w:rsid w:val="00CD3B98"/>
    <w:rsid w:val="00CD3CDC"/>
    <w:rsid w:val="00CD4371"/>
    <w:rsid w:val="00CD4C13"/>
    <w:rsid w:val="00CD519B"/>
    <w:rsid w:val="00CD677D"/>
    <w:rsid w:val="00CD71A2"/>
    <w:rsid w:val="00CE107D"/>
    <w:rsid w:val="00CE10CC"/>
    <w:rsid w:val="00CE1D00"/>
    <w:rsid w:val="00CE1F6F"/>
    <w:rsid w:val="00CE2291"/>
    <w:rsid w:val="00CE27C4"/>
    <w:rsid w:val="00CE35D9"/>
    <w:rsid w:val="00CE40BC"/>
    <w:rsid w:val="00CE4165"/>
    <w:rsid w:val="00CE4B4B"/>
    <w:rsid w:val="00CE7628"/>
    <w:rsid w:val="00CE7F40"/>
    <w:rsid w:val="00CF1CF6"/>
    <w:rsid w:val="00CF2795"/>
    <w:rsid w:val="00CF2DD2"/>
    <w:rsid w:val="00CF40E5"/>
    <w:rsid w:val="00CF4478"/>
    <w:rsid w:val="00CF4D4D"/>
    <w:rsid w:val="00CF4F51"/>
    <w:rsid w:val="00CF58F5"/>
    <w:rsid w:val="00CF68D1"/>
    <w:rsid w:val="00CF768D"/>
    <w:rsid w:val="00CF7A1E"/>
    <w:rsid w:val="00CF7F65"/>
    <w:rsid w:val="00D000E1"/>
    <w:rsid w:val="00D00650"/>
    <w:rsid w:val="00D016D9"/>
    <w:rsid w:val="00D0198C"/>
    <w:rsid w:val="00D0219F"/>
    <w:rsid w:val="00D02329"/>
    <w:rsid w:val="00D043DB"/>
    <w:rsid w:val="00D055FF"/>
    <w:rsid w:val="00D062CE"/>
    <w:rsid w:val="00D065BE"/>
    <w:rsid w:val="00D068C2"/>
    <w:rsid w:val="00D06A1D"/>
    <w:rsid w:val="00D06C0C"/>
    <w:rsid w:val="00D1106D"/>
    <w:rsid w:val="00D11488"/>
    <w:rsid w:val="00D1183D"/>
    <w:rsid w:val="00D11E32"/>
    <w:rsid w:val="00D12142"/>
    <w:rsid w:val="00D12B39"/>
    <w:rsid w:val="00D12DC5"/>
    <w:rsid w:val="00D13B89"/>
    <w:rsid w:val="00D14C91"/>
    <w:rsid w:val="00D15A59"/>
    <w:rsid w:val="00D1616A"/>
    <w:rsid w:val="00D1617E"/>
    <w:rsid w:val="00D174C5"/>
    <w:rsid w:val="00D21008"/>
    <w:rsid w:val="00D214F1"/>
    <w:rsid w:val="00D21CF6"/>
    <w:rsid w:val="00D226B0"/>
    <w:rsid w:val="00D22C96"/>
    <w:rsid w:val="00D22D04"/>
    <w:rsid w:val="00D2315C"/>
    <w:rsid w:val="00D23D71"/>
    <w:rsid w:val="00D23F0F"/>
    <w:rsid w:val="00D23F26"/>
    <w:rsid w:val="00D26370"/>
    <w:rsid w:val="00D26DE9"/>
    <w:rsid w:val="00D30BA7"/>
    <w:rsid w:val="00D30D82"/>
    <w:rsid w:val="00D31A62"/>
    <w:rsid w:val="00D32547"/>
    <w:rsid w:val="00D343E1"/>
    <w:rsid w:val="00D35C73"/>
    <w:rsid w:val="00D367A1"/>
    <w:rsid w:val="00D36E2C"/>
    <w:rsid w:val="00D37603"/>
    <w:rsid w:val="00D3775C"/>
    <w:rsid w:val="00D37929"/>
    <w:rsid w:val="00D4089F"/>
    <w:rsid w:val="00D41CDE"/>
    <w:rsid w:val="00D42087"/>
    <w:rsid w:val="00D43608"/>
    <w:rsid w:val="00D44B41"/>
    <w:rsid w:val="00D47C6C"/>
    <w:rsid w:val="00D50436"/>
    <w:rsid w:val="00D51112"/>
    <w:rsid w:val="00D53086"/>
    <w:rsid w:val="00D544C2"/>
    <w:rsid w:val="00D55AC6"/>
    <w:rsid w:val="00D56588"/>
    <w:rsid w:val="00D56956"/>
    <w:rsid w:val="00D60854"/>
    <w:rsid w:val="00D60F33"/>
    <w:rsid w:val="00D612C3"/>
    <w:rsid w:val="00D6204C"/>
    <w:rsid w:val="00D65D66"/>
    <w:rsid w:val="00D65DB4"/>
    <w:rsid w:val="00D66C26"/>
    <w:rsid w:val="00D67AF3"/>
    <w:rsid w:val="00D67CE4"/>
    <w:rsid w:val="00D708B2"/>
    <w:rsid w:val="00D71FB5"/>
    <w:rsid w:val="00D72FCE"/>
    <w:rsid w:val="00D735C0"/>
    <w:rsid w:val="00D74ED2"/>
    <w:rsid w:val="00D75CBC"/>
    <w:rsid w:val="00D7733C"/>
    <w:rsid w:val="00D82E1B"/>
    <w:rsid w:val="00D82FF7"/>
    <w:rsid w:val="00D83441"/>
    <w:rsid w:val="00D845F0"/>
    <w:rsid w:val="00D85DB7"/>
    <w:rsid w:val="00D867AE"/>
    <w:rsid w:val="00D87636"/>
    <w:rsid w:val="00D91049"/>
    <w:rsid w:val="00D91569"/>
    <w:rsid w:val="00D92B56"/>
    <w:rsid w:val="00D93ECD"/>
    <w:rsid w:val="00D9427D"/>
    <w:rsid w:val="00D94DB7"/>
    <w:rsid w:val="00D95D4C"/>
    <w:rsid w:val="00D95EEF"/>
    <w:rsid w:val="00D977F2"/>
    <w:rsid w:val="00DA0ECB"/>
    <w:rsid w:val="00DA1A02"/>
    <w:rsid w:val="00DA3BB8"/>
    <w:rsid w:val="00DA56E7"/>
    <w:rsid w:val="00DA670C"/>
    <w:rsid w:val="00DA6B91"/>
    <w:rsid w:val="00DA73EC"/>
    <w:rsid w:val="00DA744C"/>
    <w:rsid w:val="00DA750C"/>
    <w:rsid w:val="00DA7DE7"/>
    <w:rsid w:val="00DB039D"/>
    <w:rsid w:val="00DB12BD"/>
    <w:rsid w:val="00DB13BB"/>
    <w:rsid w:val="00DB2FA1"/>
    <w:rsid w:val="00DB3750"/>
    <w:rsid w:val="00DB411E"/>
    <w:rsid w:val="00DB4C8A"/>
    <w:rsid w:val="00DB6435"/>
    <w:rsid w:val="00DB6725"/>
    <w:rsid w:val="00DB6CAC"/>
    <w:rsid w:val="00DB7050"/>
    <w:rsid w:val="00DB70EB"/>
    <w:rsid w:val="00DB72AD"/>
    <w:rsid w:val="00DB72D4"/>
    <w:rsid w:val="00DB7C04"/>
    <w:rsid w:val="00DB7ED4"/>
    <w:rsid w:val="00DC062A"/>
    <w:rsid w:val="00DC0970"/>
    <w:rsid w:val="00DC121E"/>
    <w:rsid w:val="00DC1F23"/>
    <w:rsid w:val="00DC2D11"/>
    <w:rsid w:val="00DC3747"/>
    <w:rsid w:val="00DC3781"/>
    <w:rsid w:val="00DC3E27"/>
    <w:rsid w:val="00DC4505"/>
    <w:rsid w:val="00DC496D"/>
    <w:rsid w:val="00DC5CB8"/>
    <w:rsid w:val="00DC62AD"/>
    <w:rsid w:val="00DC6529"/>
    <w:rsid w:val="00DC683C"/>
    <w:rsid w:val="00DC7801"/>
    <w:rsid w:val="00DC789E"/>
    <w:rsid w:val="00DC7ABE"/>
    <w:rsid w:val="00DC7DDC"/>
    <w:rsid w:val="00DD02D6"/>
    <w:rsid w:val="00DD0C75"/>
    <w:rsid w:val="00DD3588"/>
    <w:rsid w:val="00DD46A6"/>
    <w:rsid w:val="00DE0B20"/>
    <w:rsid w:val="00DE0DB7"/>
    <w:rsid w:val="00DE101C"/>
    <w:rsid w:val="00DE1539"/>
    <w:rsid w:val="00DE1B5C"/>
    <w:rsid w:val="00DE2205"/>
    <w:rsid w:val="00DE2EB6"/>
    <w:rsid w:val="00DE327E"/>
    <w:rsid w:val="00DE5242"/>
    <w:rsid w:val="00DE6EDF"/>
    <w:rsid w:val="00DF1311"/>
    <w:rsid w:val="00DF232F"/>
    <w:rsid w:val="00DF2934"/>
    <w:rsid w:val="00DF3696"/>
    <w:rsid w:val="00DF396F"/>
    <w:rsid w:val="00DF53CC"/>
    <w:rsid w:val="00DF6C29"/>
    <w:rsid w:val="00DF705E"/>
    <w:rsid w:val="00DF7721"/>
    <w:rsid w:val="00DF775E"/>
    <w:rsid w:val="00DF7E17"/>
    <w:rsid w:val="00E0022C"/>
    <w:rsid w:val="00E010B7"/>
    <w:rsid w:val="00E03719"/>
    <w:rsid w:val="00E03849"/>
    <w:rsid w:val="00E03D5A"/>
    <w:rsid w:val="00E03F35"/>
    <w:rsid w:val="00E04AC5"/>
    <w:rsid w:val="00E06012"/>
    <w:rsid w:val="00E06149"/>
    <w:rsid w:val="00E0668D"/>
    <w:rsid w:val="00E06A8B"/>
    <w:rsid w:val="00E06C5F"/>
    <w:rsid w:val="00E07974"/>
    <w:rsid w:val="00E07BCA"/>
    <w:rsid w:val="00E11A5E"/>
    <w:rsid w:val="00E11CDB"/>
    <w:rsid w:val="00E12E2D"/>
    <w:rsid w:val="00E130DB"/>
    <w:rsid w:val="00E17A7C"/>
    <w:rsid w:val="00E17BA6"/>
    <w:rsid w:val="00E17E63"/>
    <w:rsid w:val="00E20197"/>
    <w:rsid w:val="00E20577"/>
    <w:rsid w:val="00E219B5"/>
    <w:rsid w:val="00E2420C"/>
    <w:rsid w:val="00E24D2E"/>
    <w:rsid w:val="00E25AA3"/>
    <w:rsid w:val="00E25DCB"/>
    <w:rsid w:val="00E25FEE"/>
    <w:rsid w:val="00E26808"/>
    <w:rsid w:val="00E30DF9"/>
    <w:rsid w:val="00E3223F"/>
    <w:rsid w:val="00E3299F"/>
    <w:rsid w:val="00E34AE0"/>
    <w:rsid w:val="00E36F6C"/>
    <w:rsid w:val="00E4131F"/>
    <w:rsid w:val="00E41CF2"/>
    <w:rsid w:val="00E42043"/>
    <w:rsid w:val="00E42CE7"/>
    <w:rsid w:val="00E4320E"/>
    <w:rsid w:val="00E43C7A"/>
    <w:rsid w:val="00E44DBA"/>
    <w:rsid w:val="00E45491"/>
    <w:rsid w:val="00E46CE1"/>
    <w:rsid w:val="00E47BD7"/>
    <w:rsid w:val="00E50CF3"/>
    <w:rsid w:val="00E50E39"/>
    <w:rsid w:val="00E51D7F"/>
    <w:rsid w:val="00E52833"/>
    <w:rsid w:val="00E528B6"/>
    <w:rsid w:val="00E5486D"/>
    <w:rsid w:val="00E554E2"/>
    <w:rsid w:val="00E556B5"/>
    <w:rsid w:val="00E5571E"/>
    <w:rsid w:val="00E56561"/>
    <w:rsid w:val="00E5663D"/>
    <w:rsid w:val="00E56F3D"/>
    <w:rsid w:val="00E609C7"/>
    <w:rsid w:val="00E61061"/>
    <w:rsid w:val="00E61706"/>
    <w:rsid w:val="00E618C6"/>
    <w:rsid w:val="00E61BB0"/>
    <w:rsid w:val="00E64420"/>
    <w:rsid w:val="00E646F1"/>
    <w:rsid w:val="00E657E2"/>
    <w:rsid w:val="00E671AE"/>
    <w:rsid w:val="00E715E8"/>
    <w:rsid w:val="00E71DB5"/>
    <w:rsid w:val="00E722E6"/>
    <w:rsid w:val="00E723CB"/>
    <w:rsid w:val="00E731DE"/>
    <w:rsid w:val="00E734DE"/>
    <w:rsid w:val="00E806FD"/>
    <w:rsid w:val="00E80EB6"/>
    <w:rsid w:val="00E82DC0"/>
    <w:rsid w:val="00E82E73"/>
    <w:rsid w:val="00E837C2"/>
    <w:rsid w:val="00E83857"/>
    <w:rsid w:val="00E84FBA"/>
    <w:rsid w:val="00E866A7"/>
    <w:rsid w:val="00E86CDD"/>
    <w:rsid w:val="00E86F6D"/>
    <w:rsid w:val="00E877BB"/>
    <w:rsid w:val="00E87DAB"/>
    <w:rsid w:val="00E87EA6"/>
    <w:rsid w:val="00E9010F"/>
    <w:rsid w:val="00E90250"/>
    <w:rsid w:val="00E90825"/>
    <w:rsid w:val="00E90BA6"/>
    <w:rsid w:val="00E90BDB"/>
    <w:rsid w:val="00E91210"/>
    <w:rsid w:val="00E92486"/>
    <w:rsid w:val="00E92500"/>
    <w:rsid w:val="00E94D00"/>
    <w:rsid w:val="00E95FE4"/>
    <w:rsid w:val="00E970CD"/>
    <w:rsid w:val="00E9727D"/>
    <w:rsid w:val="00E97388"/>
    <w:rsid w:val="00E976DC"/>
    <w:rsid w:val="00E976F7"/>
    <w:rsid w:val="00EA145C"/>
    <w:rsid w:val="00EA1D58"/>
    <w:rsid w:val="00EA2616"/>
    <w:rsid w:val="00EA3D0C"/>
    <w:rsid w:val="00EA451D"/>
    <w:rsid w:val="00EA5C35"/>
    <w:rsid w:val="00EA7B3F"/>
    <w:rsid w:val="00EB18DE"/>
    <w:rsid w:val="00EB27D5"/>
    <w:rsid w:val="00EB3354"/>
    <w:rsid w:val="00EB43D4"/>
    <w:rsid w:val="00EB5441"/>
    <w:rsid w:val="00EB54E7"/>
    <w:rsid w:val="00EB5B43"/>
    <w:rsid w:val="00EB61FE"/>
    <w:rsid w:val="00EC0958"/>
    <w:rsid w:val="00EC1B30"/>
    <w:rsid w:val="00EC4985"/>
    <w:rsid w:val="00EC5220"/>
    <w:rsid w:val="00EC5E67"/>
    <w:rsid w:val="00EC646D"/>
    <w:rsid w:val="00EC69D4"/>
    <w:rsid w:val="00EC728A"/>
    <w:rsid w:val="00ED0235"/>
    <w:rsid w:val="00ED0B4E"/>
    <w:rsid w:val="00ED0D89"/>
    <w:rsid w:val="00ED11AC"/>
    <w:rsid w:val="00ED14E8"/>
    <w:rsid w:val="00ED24CA"/>
    <w:rsid w:val="00ED2C2B"/>
    <w:rsid w:val="00ED3597"/>
    <w:rsid w:val="00ED42C1"/>
    <w:rsid w:val="00ED4913"/>
    <w:rsid w:val="00ED78B1"/>
    <w:rsid w:val="00EE004C"/>
    <w:rsid w:val="00EE067E"/>
    <w:rsid w:val="00EE0FA9"/>
    <w:rsid w:val="00EE1409"/>
    <w:rsid w:val="00EE2FA0"/>
    <w:rsid w:val="00EE44A6"/>
    <w:rsid w:val="00EE4BDC"/>
    <w:rsid w:val="00EE51CD"/>
    <w:rsid w:val="00EE5AA3"/>
    <w:rsid w:val="00EE5F7E"/>
    <w:rsid w:val="00EE6CAB"/>
    <w:rsid w:val="00EE771C"/>
    <w:rsid w:val="00EE7AB0"/>
    <w:rsid w:val="00EE7D27"/>
    <w:rsid w:val="00EE7DFF"/>
    <w:rsid w:val="00EF0477"/>
    <w:rsid w:val="00EF0FB2"/>
    <w:rsid w:val="00EF1662"/>
    <w:rsid w:val="00EF1B01"/>
    <w:rsid w:val="00EF1C96"/>
    <w:rsid w:val="00EF1F5B"/>
    <w:rsid w:val="00EF283A"/>
    <w:rsid w:val="00EF4ACB"/>
    <w:rsid w:val="00EF634B"/>
    <w:rsid w:val="00EF7CD6"/>
    <w:rsid w:val="00F01369"/>
    <w:rsid w:val="00F02622"/>
    <w:rsid w:val="00F02F0B"/>
    <w:rsid w:val="00F03117"/>
    <w:rsid w:val="00F03CA5"/>
    <w:rsid w:val="00F067A9"/>
    <w:rsid w:val="00F06D04"/>
    <w:rsid w:val="00F07BAA"/>
    <w:rsid w:val="00F07BAD"/>
    <w:rsid w:val="00F13F6E"/>
    <w:rsid w:val="00F14126"/>
    <w:rsid w:val="00F14EA9"/>
    <w:rsid w:val="00F14F80"/>
    <w:rsid w:val="00F16741"/>
    <w:rsid w:val="00F178C8"/>
    <w:rsid w:val="00F17B5E"/>
    <w:rsid w:val="00F17D73"/>
    <w:rsid w:val="00F17FE2"/>
    <w:rsid w:val="00F2169D"/>
    <w:rsid w:val="00F217E0"/>
    <w:rsid w:val="00F221E1"/>
    <w:rsid w:val="00F23044"/>
    <w:rsid w:val="00F24717"/>
    <w:rsid w:val="00F24C34"/>
    <w:rsid w:val="00F25447"/>
    <w:rsid w:val="00F25842"/>
    <w:rsid w:val="00F259D8"/>
    <w:rsid w:val="00F25A1C"/>
    <w:rsid w:val="00F2713D"/>
    <w:rsid w:val="00F27555"/>
    <w:rsid w:val="00F27AAD"/>
    <w:rsid w:val="00F31B2B"/>
    <w:rsid w:val="00F31C8B"/>
    <w:rsid w:val="00F31E04"/>
    <w:rsid w:val="00F32EAE"/>
    <w:rsid w:val="00F33076"/>
    <w:rsid w:val="00F33749"/>
    <w:rsid w:val="00F33BF4"/>
    <w:rsid w:val="00F400E8"/>
    <w:rsid w:val="00F40AE2"/>
    <w:rsid w:val="00F40C12"/>
    <w:rsid w:val="00F415F3"/>
    <w:rsid w:val="00F41EFF"/>
    <w:rsid w:val="00F42ACB"/>
    <w:rsid w:val="00F42D02"/>
    <w:rsid w:val="00F42D0B"/>
    <w:rsid w:val="00F4432E"/>
    <w:rsid w:val="00F44F26"/>
    <w:rsid w:val="00F46337"/>
    <w:rsid w:val="00F500E1"/>
    <w:rsid w:val="00F51354"/>
    <w:rsid w:val="00F51A02"/>
    <w:rsid w:val="00F52E37"/>
    <w:rsid w:val="00F53A4D"/>
    <w:rsid w:val="00F53F36"/>
    <w:rsid w:val="00F54634"/>
    <w:rsid w:val="00F54799"/>
    <w:rsid w:val="00F54B99"/>
    <w:rsid w:val="00F57636"/>
    <w:rsid w:val="00F57943"/>
    <w:rsid w:val="00F603A8"/>
    <w:rsid w:val="00F60BBA"/>
    <w:rsid w:val="00F61E3B"/>
    <w:rsid w:val="00F62016"/>
    <w:rsid w:val="00F62F68"/>
    <w:rsid w:val="00F6392D"/>
    <w:rsid w:val="00F63963"/>
    <w:rsid w:val="00F63D6B"/>
    <w:rsid w:val="00F64C89"/>
    <w:rsid w:val="00F652CE"/>
    <w:rsid w:val="00F6531E"/>
    <w:rsid w:val="00F66C52"/>
    <w:rsid w:val="00F70D81"/>
    <w:rsid w:val="00F71B7C"/>
    <w:rsid w:val="00F71BAD"/>
    <w:rsid w:val="00F72678"/>
    <w:rsid w:val="00F72747"/>
    <w:rsid w:val="00F7299E"/>
    <w:rsid w:val="00F72D5D"/>
    <w:rsid w:val="00F737F2"/>
    <w:rsid w:val="00F738AB"/>
    <w:rsid w:val="00F739A9"/>
    <w:rsid w:val="00F769A7"/>
    <w:rsid w:val="00F76DBA"/>
    <w:rsid w:val="00F773B1"/>
    <w:rsid w:val="00F8082D"/>
    <w:rsid w:val="00F836CD"/>
    <w:rsid w:val="00F85208"/>
    <w:rsid w:val="00F85A43"/>
    <w:rsid w:val="00F85A68"/>
    <w:rsid w:val="00F86FB6"/>
    <w:rsid w:val="00F9098D"/>
    <w:rsid w:val="00F917B1"/>
    <w:rsid w:val="00F92EDC"/>
    <w:rsid w:val="00F936E3"/>
    <w:rsid w:val="00F940F8"/>
    <w:rsid w:val="00F955BB"/>
    <w:rsid w:val="00F957E8"/>
    <w:rsid w:val="00F95ABD"/>
    <w:rsid w:val="00F95E68"/>
    <w:rsid w:val="00F970F9"/>
    <w:rsid w:val="00F97578"/>
    <w:rsid w:val="00F9777C"/>
    <w:rsid w:val="00FA00DD"/>
    <w:rsid w:val="00FA03BD"/>
    <w:rsid w:val="00FA0F95"/>
    <w:rsid w:val="00FA10F6"/>
    <w:rsid w:val="00FA1701"/>
    <w:rsid w:val="00FA2289"/>
    <w:rsid w:val="00FA30CB"/>
    <w:rsid w:val="00FA3AC3"/>
    <w:rsid w:val="00FA3FF7"/>
    <w:rsid w:val="00FA7527"/>
    <w:rsid w:val="00FB1435"/>
    <w:rsid w:val="00FB14E0"/>
    <w:rsid w:val="00FB191F"/>
    <w:rsid w:val="00FB27C3"/>
    <w:rsid w:val="00FB47E3"/>
    <w:rsid w:val="00FB573A"/>
    <w:rsid w:val="00FB5BD1"/>
    <w:rsid w:val="00FB5DCF"/>
    <w:rsid w:val="00FB5F2B"/>
    <w:rsid w:val="00FB6081"/>
    <w:rsid w:val="00FB672F"/>
    <w:rsid w:val="00FB7921"/>
    <w:rsid w:val="00FB7D48"/>
    <w:rsid w:val="00FC066A"/>
    <w:rsid w:val="00FC066B"/>
    <w:rsid w:val="00FC14AA"/>
    <w:rsid w:val="00FC2A5A"/>
    <w:rsid w:val="00FC2DC4"/>
    <w:rsid w:val="00FC31C7"/>
    <w:rsid w:val="00FC4330"/>
    <w:rsid w:val="00FC5B22"/>
    <w:rsid w:val="00FC5B7C"/>
    <w:rsid w:val="00FC7B01"/>
    <w:rsid w:val="00FD049A"/>
    <w:rsid w:val="00FD3483"/>
    <w:rsid w:val="00FD3EB6"/>
    <w:rsid w:val="00FD4D4E"/>
    <w:rsid w:val="00FD4DD4"/>
    <w:rsid w:val="00FE0484"/>
    <w:rsid w:val="00FE0816"/>
    <w:rsid w:val="00FE0AF4"/>
    <w:rsid w:val="00FE1E4A"/>
    <w:rsid w:val="00FE2A9D"/>
    <w:rsid w:val="00FE2FC2"/>
    <w:rsid w:val="00FE33DE"/>
    <w:rsid w:val="00FE44BE"/>
    <w:rsid w:val="00FE62A2"/>
    <w:rsid w:val="00FE75CD"/>
    <w:rsid w:val="00FE79E3"/>
    <w:rsid w:val="00FF013C"/>
    <w:rsid w:val="00FF1D29"/>
    <w:rsid w:val="00FF2AA5"/>
    <w:rsid w:val="00FF3A29"/>
    <w:rsid w:val="00FF5250"/>
    <w:rsid w:val="00FF5281"/>
    <w:rsid w:val="00FF549E"/>
    <w:rsid w:val="00FF5D02"/>
    <w:rsid w:val="00FF6515"/>
    <w:rsid w:val="00FF6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1C08F"/>
  <w15:chartTrackingRefBased/>
  <w15:docId w15:val="{063ABDFB-707B-41B6-BAD0-4D637533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856"/>
    <w:rPr>
      <w:rFonts w:eastAsiaTheme="majorEastAsia" w:cstheme="majorBidi"/>
      <w:color w:val="272727" w:themeColor="text1" w:themeTint="D8"/>
    </w:rPr>
  </w:style>
  <w:style w:type="paragraph" w:styleId="Title">
    <w:name w:val="Title"/>
    <w:basedOn w:val="Normal"/>
    <w:next w:val="Normal"/>
    <w:link w:val="TitleChar"/>
    <w:uiPriority w:val="10"/>
    <w:qFormat/>
    <w:rsid w:val="00B51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856"/>
    <w:pPr>
      <w:spacing w:before="160"/>
      <w:jc w:val="center"/>
    </w:pPr>
    <w:rPr>
      <w:i/>
      <w:iCs/>
      <w:color w:val="404040" w:themeColor="text1" w:themeTint="BF"/>
    </w:rPr>
  </w:style>
  <w:style w:type="character" w:customStyle="1" w:styleId="QuoteChar">
    <w:name w:val="Quote Char"/>
    <w:basedOn w:val="DefaultParagraphFont"/>
    <w:link w:val="Quote"/>
    <w:uiPriority w:val="29"/>
    <w:rsid w:val="00B51856"/>
    <w:rPr>
      <w:i/>
      <w:iCs/>
      <w:color w:val="404040" w:themeColor="text1" w:themeTint="BF"/>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rsid w:val="00B51856"/>
    <w:pPr>
      <w:ind w:left="720"/>
      <w:contextualSpacing/>
    </w:pPr>
  </w:style>
  <w:style w:type="character" w:styleId="IntenseEmphasis">
    <w:name w:val="Intense Emphasis"/>
    <w:basedOn w:val="DefaultParagraphFont"/>
    <w:uiPriority w:val="21"/>
    <w:qFormat/>
    <w:rsid w:val="00B51856"/>
    <w:rPr>
      <w:i/>
      <w:iCs/>
      <w:color w:val="0F4761" w:themeColor="accent1" w:themeShade="BF"/>
    </w:rPr>
  </w:style>
  <w:style w:type="paragraph" w:styleId="IntenseQuote">
    <w:name w:val="Intense Quote"/>
    <w:basedOn w:val="Normal"/>
    <w:next w:val="Normal"/>
    <w:link w:val="IntenseQuoteChar"/>
    <w:uiPriority w:val="30"/>
    <w:qFormat/>
    <w:rsid w:val="00B5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856"/>
    <w:rPr>
      <w:i/>
      <w:iCs/>
      <w:color w:val="0F4761" w:themeColor="accent1" w:themeShade="BF"/>
    </w:rPr>
  </w:style>
  <w:style w:type="character" w:styleId="IntenseReference">
    <w:name w:val="Intense Reference"/>
    <w:basedOn w:val="DefaultParagraphFont"/>
    <w:uiPriority w:val="32"/>
    <w:qFormat/>
    <w:rsid w:val="00B51856"/>
    <w:rPr>
      <w:b/>
      <w:bCs/>
      <w:smallCaps/>
      <w:color w:val="0F4761" w:themeColor="accent1" w:themeShade="BF"/>
      <w:spacing w:val="5"/>
    </w:rPr>
  </w:style>
  <w:style w:type="paragraph" w:styleId="Header">
    <w:name w:val="header"/>
    <w:basedOn w:val="Normal"/>
    <w:link w:val="HeaderChar"/>
    <w:uiPriority w:val="99"/>
    <w:unhideWhenUsed/>
    <w:rsid w:val="00D22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D04"/>
  </w:style>
  <w:style w:type="paragraph" w:styleId="Footer">
    <w:name w:val="footer"/>
    <w:basedOn w:val="Normal"/>
    <w:link w:val="FooterChar"/>
    <w:uiPriority w:val="99"/>
    <w:unhideWhenUsed/>
    <w:rsid w:val="00D22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D04"/>
  </w:style>
  <w:style w:type="paragraph" w:customStyle="1" w:styleId="FFWBody1">
    <w:name w:val="FFW Body 1"/>
    <w:basedOn w:val="Normal"/>
    <w:uiPriority w:val="6"/>
    <w:rsid w:val="008C6D43"/>
    <w:pPr>
      <w:numPr>
        <w:numId w:val="1"/>
      </w:numPr>
      <w:spacing w:before="240" w:after="0" w:line="260" w:lineRule="atLeast"/>
      <w:jc w:val="both"/>
    </w:pPr>
    <w:rPr>
      <w:rFonts w:ascii="Arial" w:hAnsi="Arial"/>
      <w:kern w:val="0"/>
      <w:sz w:val="20"/>
      <w:szCs w:val="22"/>
      <w14:ligatures w14:val="none"/>
    </w:rPr>
  </w:style>
  <w:style w:type="paragraph" w:customStyle="1" w:styleId="FFWBody2">
    <w:name w:val="FFW Body 2"/>
    <w:basedOn w:val="Normal"/>
    <w:uiPriority w:val="6"/>
    <w:qFormat/>
    <w:rsid w:val="008C6D43"/>
    <w:pPr>
      <w:numPr>
        <w:ilvl w:val="1"/>
        <w:numId w:val="1"/>
      </w:numPr>
      <w:spacing w:before="240" w:after="0" w:line="260" w:lineRule="atLeast"/>
      <w:jc w:val="both"/>
    </w:pPr>
    <w:rPr>
      <w:rFonts w:ascii="Arial" w:hAnsi="Arial"/>
      <w:kern w:val="0"/>
      <w:sz w:val="20"/>
      <w:szCs w:val="22"/>
      <w14:ligatures w14:val="none"/>
    </w:rPr>
  </w:style>
  <w:style w:type="paragraph" w:customStyle="1" w:styleId="FFWBody3">
    <w:name w:val="FFW Body 3"/>
    <w:basedOn w:val="Normal"/>
    <w:uiPriority w:val="6"/>
    <w:qFormat/>
    <w:rsid w:val="008C6D43"/>
    <w:pPr>
      <w:numPr>
        <w:ilvl w:val="2"/>
        <w:numId w:val="1"/>
      </w:numPr>
      <w:spacing w:before="240" w:after="0" w:line="260" w:lineRule="atLeast"/>
      <w:jc w:val="both"/>
    </w:pPr>
    <w:rPr>
      <w:rFonts w:ascii="Arial" w:hAnsi="Arial"/>
      <w:kern w:val="0"/>
      <w:sz w:val="20"/>
      <w:szCs w:val="22"/>
      <w14:ligatures w14:val="none"/>
    </w:rPr>
  </w:style>
  <w:style w:type="paragraph" w:customStyle="1" w:styleId="FFWBody4">
    <w:name w:val="FFW Body 4"/>
    <w:basedOn w:val="Normal"/>
    <w:uiPriority w:val="6"/>
    <w:qFormat/>
    <w:rsid w:val="008C6D43"/>
    <w:pPr>
      <w:numPr>
        <w:ilvl w:val="3"/>
        <w:numId w:val="1"/>
      </w:numPr>
      <w:spacing w:before="240" w:after="0" w:line="260" w:lineRule="atLeast"/>
      <w:jc w:val="both"/>
    </w:pPr>
    <w:rPr>
      <w:rFonts w:ascii="Arial" w:hAnsi="Arial"/>
      <w:kern w:val="0"/>
      <w:sz w:val="20"/>
      <w:szCs w:val="22"/>
      <w14:ligatures w14:val="none"/>
    </w:rPr>
  </w:style>
  <w:style w:type="paragraph" w:customStyle="1" w:styleId="FFWBody5">
    <w:name w:val="FFW Body 5"/>
    <w:basedOn w:val="Normal"/>
    <w:uiPriority w:val="6"/>
    <w:qFormat/>
    <w:rsid w:val="008C6D43"/>
    <w:pPr>
      <w:numPr>
        <w:ilvl w:val="4"/>
        <w:numId w:val="1"/>
      </w:numPr>
      <w:spacing w:before="240" w:after="0" w:line="260" w:lineRule="atLeast"/>
      <w:jc w:val="both"/>
    </w:pPr>
    <w:rPr>
      <w:rFonts w:ascii="Arial" w:hAnsi="Arial"/>
      <w:kern w:val="0"/>
      <w:sz w:val="20"/>
      <w:szCs w:val="22"/>
      <w14:ligatures w14:val="none"/>
    </w:rPr>
  </w:style>
  <w:style w:type="paragraph" w:customStyle="1" w:styleId="FFWBody6">
    <w:name w:val="FFW Body 6"/>
    <w:basedOn w:val="Normal"/>
    <w:uiPriority w:val="6"/>
    <w:qFormat/>
    <w:rsid w:val="008C6D43"/>
    <w:pPr>
      <w:numPr>
        <w:ilvl w:val="5"/>
        <w:numId w:val="1"/>
      </w:numPr>
      <w:spacing w:before="240" w:after="0" w:line="260" w:lineRule="atLeast"/>
      <w:jc w:val="both"/>
    </w:pPr>
    <w:rPr>
      <w:rFonts w:ascii="Arial" w:hAnsi="Arial"/>
      <w:kern w:val="0"/>
      <w:sz w:val="20"/>
      <w:szCs w:val="22"/>
      <w14:ligatures w14:val="none"/>
    </w:rPr>
  </w:style>
  <w:style w:type="numbering" w:customStyle="1" w:styleId="NumbListBodyText">
    <w:name w:val="NumbList Body Text"/>
    <w:uiPriority w:val="99"/>
    <w:rsid w:val="008C6D43"/>
    <w:pPr>
      <w:numPr>
        <w:numId w:val="1"/>
      </w:numPr>
    </w:p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B65C6B"/>
  </w:style>
  <w:style w:type="paragraph" w:styleId="FootnoteText">
    <w:name w:val="footnote text"/>
    <w:basedOn w:val="Normal"/>
    <w:link w:val="FootnoteTextChar"/>
    <w:uiPriority w:val="99"/>
    <w:semiHidden/>
    <w:unhideWhenUsed/>
    <w:rsid w:val="00944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6E3"/>
    <w:rPr>
      <w:sz w:val="20"/>
      <w:szCs w:val="20"/>
    </w:rPr>
  </w:style>
  <w:style w:type="character" w:styleId="FootnoteReference">
    <w:name w:val="footnote reference"/>
    <w:basedOn w:val="DefaultParagraphFont"/>
    <w:uiPriority w:val="99"/>
    <w:semiHidden/>
    <w:unhideWhenUsed/>
    <w:rsid w:val="009446E3"/>
    <w:rPr>
      <w:vertAlign w:val="superscript"/>
    </w:rPr>
  </w:style>
  <w:style w:type="paragraph" w:styleId="Revision">
    <w:name w:val="Revision"/>
    <w:hidden/>
    <w:uiPriority w:val="99"/>
    <w:semiHidden/>
    <w:rsid w:val="00A00C58"/>
    <w:pPr>
      <w:spacing w:after="0" w:line="240" w:lineRule="auto"/>
    </w:pPr>
  </w:style>
  <w:style w:type="character" w:styleId="CommentReference">
    <w:name w:val="annotation reference"/>
    <w:basedOn w:val="DefaultParagraphFont"/>
    <w:uiPriority w:val="99"/>
    <w:semiHidden/>
    <w:unhideWhenUsed/>
    <w:rsid w:val="00F25842"/>
    <w:rPr>
      <w:sz w:val="16"/>
      <w:szCs w:val="16"/>
    </w:rPr>
  </w:style>
  <w:style w:type="paragraph" w:styleId="CommentText">
    <w:name w:val="annotation text"/>
    <w:basedOn w:val="Normal"/>
    <w:link w:val="CommentTextChar"/>
    <w:uiPriority w:val="99"/>
    <w:unhideWhenUsed/>
    <w:rsid w:val="00F25842"/>
    <w:pPr>
      <w:spacing w:line="240" w:lineRule="auto"/>
    </w:pPr>
    <w:rPr>
      <w:sz w:val="20"/>
      <w:szCs w:val="20"/>
    </w:rPr>
  </w:style>
  <w:style w:type="character" w:customStyle="1" w:styleId="CommentTextChar">
    <w:name w:val="Comment Text Char"/>
    <w:basedOn w:val="DefaultParagraphFont"/>
    <w:link w:val="CommentText"/>
    <w:uiPriority w:val="99"/>
    <w:rsid w:val="00F25842"/>
    <w:rPr>
      <w:sz w:val="20"/>
      <w:szCs w:val="20"/>
    </w:rPr>
  </w:style>
  <w:style w:type="paragraph" w:styleId="CommentSubject">
    <w:name w:val="annotation subject"/>
    <w:basedOn w:val="CommentText"/>
    <w:next w:val="CommentText"/>
    <w:link w:val="CommentSubjectChar"/>
    <w:uiPriority w:val="99"/>
    <w:semiHidden/>
    <w:unhideWhenUsed/>
    <w:rsid w:val="00F25842"/>
    <w:rPr>
      <w:b/>
      <w:bCs/>
    </w:rPr>
  </w:style>
  <w:style w:type="character" w:customStyle="1" w:styleId="CommentSubjectChar">
    <w:name w:val="Comment Subject Char"/>
    <w:basedOn w:val="CommentTextChar"/>
    <w:link w:val="CommentSubject"/>
    <w:uiPriority w:val="99"/>
    <w:semiHidden/>
    <w:rsid w:val="00F25842"/>
    <w:rPr>
      <w:b/>
      <w:bCs/>
      <w:sz w:val="20"/>
      <w:szCs w:val="20"/>
    </w:rPr>
  </w:style>
  <w:style w:type="character" w:styleId="Hyperlink">
    <w:name w:val="Hyperlink"/>
    <w:basedOn w:val="DefaultParagraphFont"/>
    <w:uiPriority w:val="99"/>
    <w:unhideWhenUsed/>
    <w:rsid w:val="007A7C63"/>
    <w:rPr>
      <w:color w:val="467886" w:themeColor="hyperlink"/>
      <w:u w:val="single"/>
    </w:rPr>
  </w:style>
  <w:style w:type="character" w:styleId="UnresolvedMention">
    <w:name w:val="Unresolved Mention"/>
    <w:basedOn w:val="DefaultParagraphFont"/>
    <w:uiPriority w:val="99"/>
    <w:semiHidden/>
    <w:unhideWhenUsed/>
    <w:rsid w:val="007A7C63"/>
    <w:rPr>
      <w:color w:val="605E5C"/>
      <w:shd w:val="clear" w:color="auto" w:fill="E1DFDD"/>
    </w:rPr>
  </w:style>
  <w:style w:type="character" w:styleId="FollowedHyperlink">
    <w:name w:val="FollowedHyperlink"/>
    <w:basedOn w:val="DefaultParagraphFont"/>
    <w:uiPriority w:val="99"/>
    <w:semiHidden/>
    <w:unhideWhenUsed/>
    <w:rsid w:val="00F773B1"/>
    <w:rPr>
      <w:color w:val="96607D" w:themeColor="followedHyperlink"/>
      <w:u w:val="single"/>
    </w:rPr>
  </w:style>
  <w:style w:type="paragraph" w:styleId="EndnoteText">
    <w:name w:val="endnote text"/>
    <w:basedOn w:val="Normal"/>
    <w:link w:val="EndnoteTextChar"/>
    <w:uiPriority w:val="99"/>
    <w:semiHidden/>
    <w:unhideWhenUsed/>
    <w:rsid w:val="003C53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39D"/>
    <w:rPr>
      <w:sz w:val="20"/>
      <w:szCs w:val="20"/>
    </w:rPr>
  </w:style>
  <w:style w:type="character" w:styleId="EndnoteReference">
    <w:name w:val="endnote reference"/>
    <w:basedOn w:val="DefaultParagraphFont"/>
    <w:uiPriority w:val="99"/>
    <w:semiHidden/>
    <w:unhideWhenUsed/>
    <w:rsid w:val="003C5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6956">
      <w:bodyDiv w:val="1"/>
      <w:marLeft w:val="0"/>
      <w:marRight w:val="0"/>
      <w:marTop w:val="0"/>
      <w:marBottom w:val="0"/>
      <w:divBdr>
        <w:top w:val="none" w:sz="0" w:space="0" w:color="auto"/>
        <w:left w:val="none" w:sz="0" w:space="0" w:color="auto"/>
        <w:bottom w:val="none" w:sz="0" w:space="0" w:color="auto"/>
        <w:right w:val="none" w:sz="0" w:space="0" w:color="auto"/>
      </w:divBdr>
    </w:div>
    <w:div w:id="49889393">
      <w:bodyDiv w:val="1"/>
      <w:marLeft w:val="0"/>
      <w:marRight w:val="0"/>
      <w:marTop w:val="0"/>
      <w:marBottom w:val="0"/>
      <w:divBdr>
        <w:top w:val="none" w:sz="0" w:space="0" w:color="auto"/>
        <w:left w:val="none" w:sz="0" w:space="0" w:color="auto"/>
        <w:bottom w:val="none" w:sz="0" w:space="0" w:color="auto"/>
        <w:right w:val="none" w:sz="0" w:space="0" w:color="auto"/>
      </w:divBdr>
    </w:div>
    <w:div w:id="223832042">
      <w:bodyDiv w:val="1"/>
      <w:marLeft w:val="0"/>
      <w:marRight w:val="0"/>
      <w:marTop w:val="0"/>
      <w:marBottom w:val="0"/>
      <w:divBdr>
        <w:top w:val="none" w:sz="0" w:space="0" w:color="auto"/>
        <w:left w:val="none" w:sz="0" w:space="0" w:color="auto"/>
        <w:bottom w:val="none" w:sz="0" w:space="0" w:color="auto"/>
        <w:right w:val="none" w:sz="0" w:space="0" w:color="auto"/>
      </w:divBdr>
    </w:div>
    <w:div w:id="274019518">
      <w:bodyDiv w:val="1"/>
      <w:marLeft w:val="0"/>
      <w:marRight w:val="0"/>
      <w:marTop w:val="0"/>
      <w:marBottom w:val="0"/>
      <w:divBdr>
        <w:top w:val="none" w:sz="0" w:space="0" w:color="auto"/>
        <w:left w:val="none" w:sz="0" w:space="0" w:color="auto"/>
        <w:bottom w:val="none" w:sz="0" w:space="0" w:color="auto"/>
        <w:right w:val="none" w:sz="0" w:space="0" w:color="auto"/>
      </w:divBdr>
    </w:div>
    <w:div w:id="354311226">
      <w:bodyDiv w:val="1"/>
      <w:marLeft w:val="0"/>
      <w:marRight w:val="0"/>
      <w:marTop w:val="0"/>
      <w:marBottom w:val="0"/>
      <w:divBdr>
        <w:top w:val="none" w:sz="0" w:space="0" w:color="auto"/>
        <w:left w:val="none" w:sz="0" w:space="0" w:color="auto"/>
        <w:bottom w:val="none" w:sz="0" w:space="0" w:color="auto"/>
        <w:right w:val="none" w:sz="0" w:space="0" w:color="auto"/>
      </w:divBdr>
    </w:div>
    <w:div w:id="469904868">
      <w:bodyDiv w:val="1"/>
      <w:marLeft w:val="0"/>
      <w:marRight w:val="0"/>
      <w:marTop w:val="0"/>
      <w:marBottom w:val="0"/>
      <w:divBdr>
        <w:top w:val="none" w:sz="0" w:space="0" w:color="auto"/>
        <w:left w:val="none" w:sz="0" w:space="0" w:color="auto"/>
        <w:bottom w:val="none" w:sz="0" w:space="0" w:color="auto"/>
        <w:right w:val="none" w:sz="0" w:space="0" w:color="auto"/>
      </w:divBdr>
    </w:div>
    <w:div w:id="704448848">
      <w:bodyDiv w:val="1"/>
      <w:marLeft w:val="0"/>
      <w:marRight w:val="0"/>
      <w:marTop w:val="0"/>
      <w:marBottom w:val="0"/>
      <w:divBdr>
        <w:top w:val="none" w:sz="0" w:space="0" w:color="auto"/>
        <w:left w:val="none" w:sz="0" w:space="0" w:color="auto"/>
        <w:bottom w:val="none" w:sz="0" w:space="0" w:color="auto"/>
        <w:right w:val="none" w:sz="0" w:space="0" w:color="auto"/>
      </w:divBdr>
    </w:div>
    <w:div w:id="724066086">
      <w:bodyDiv w:val="1"/>
      <w:marLeft w:val="0"/>
      <w:marRight w:val="0"/>
      <w:marTop w:val="0"/>
      <w:marBottom w:val="0"/>
      <w:divBdr>
        <w:top w:val="none" w:sz="0" w:space="0" w:color="auto"/>
        <w:left w:val="none" w:sz="0" w:space="0" w:color="auto"/>
        <w:bottom w:val="none" w:sz="0" w:space="0" w:color="auto"/>
        <w:right w:val="none" w:sz="0" w:space="0" w:color="auto"/>
      </w:divBdr>
      <w:divsChild>
        <w:div w:id="1084492378">
          <w:marLeft w:val="274"/>
          <w:marRight w:val="0"/>
          <w:marTop w:val="150"/>
          <w:marBottom w:val="0"/>
          <w:divBdr>
            <w:top w:val="none" w:sz="0" w:space="0" w:color="auto"/>
            <w:left w:val="none" w:sz="0" w:space="0" w:color="auto"/>
            <w:bottom w:val="none" w:sz="0" w:space="0" w:color="auto"/>
            <w:right w:val="none" w:sz="0" w:space="0" w:color="auto"/>
          </w:divBdr>
        </w:div>
      </w:divsChild>
    </w:div>
    <w:div w:id="762411967">
      <w:bodyDiv w:val="1"/>
      <w:marLeft w:val="0"/>
      <w:marRight w:val="0"/>
      <w:marTop w:val="0"/>
      <w:marBottom w:val="0"/>
      <w:divBdr>
        <w:top w:val="none" w:sz="0" w:space="0" w:color="auto"/>
        <w:left w:val="none" w:sz="0" w:space="0" w:color="auto"/>
        <w:bottom w:val="none" w:sz="0" w:space="0" w:color="auto"/>
        <w:right w:val="none" w:sz="0" w:space="0" w:color="auto"/>
      </w:divBdr>
    </w:div>
    <w:div w:id="881286258">
      <w:bodyDiv w:val="1"/>
      <w:marLeft w:val="0"/>
      <w:marRight w:val="0"/>
      <w:marTop w:val="0"/>
      <w:marBottom w:val="0"/>
      <w:divBdr>
        <w:top w:val="none" w:sz="0" w:space="0" w:color="auto"/>
        <w:left w:val="none" w:sz="0" w:space="0" w:color="auto"/>
        <w:bottom w:val="none" w:sz="0" w:space="0" w:color="auto"/>
        <w:right w:val="none" w:sz="0" w:space="0" w:color="auto"/>
      </w:divBdr>
    </w:div>
    <w:div w:id="1037585256">
      <w:bodyDiv w:val="1"/>
      <w:marLeft w:val="0"/>
      <w:marRight w:val="0"/>
      <w:marTop w:val="0"/>
      <w:marBottom w:val="0"/>
      <w:divBdr>
        <w:top w:val="none" w:sz="0" w:space="0" w:color="auto"/>
        <w:left w:val="none" w:sz="0" w:space="0" w:color="auto"/>
        <w:bottom w:val="none" w:sz="0" w:space="0" w:color="auto"/>
        <w:right w:val="none" w:sz="0" w:space="0" w:color="auto"/>
      </w:divBdr>
    </w:div>
    <w:div w:id="1060446329">
      <w:bodyDiv w:val="1"/>
      <w:marLeft w:val="0"/>
      <w:marRight w:val="0"/>
      <w:marTop w:val="0"/>
      <w:marBottom w:val="0"/>
      <w:divBdr>
        <w:top w:val="none" w:sz="0" w:space="0" w:color="auto"/>
        <w:left w:val="none" w:sz="0" w:space="0" w:color="auto"/>
        <w:bottom w:val="none" w:sz="0" w:space="0" w:color="auto"/>
        <w:right w:val="none" w:sz="0" w:space="0" w:color="auto"/>
      </w:divBdr>
    </w:div>
    <w:div w:id="1106920398">
      <w:bodyDiv w:val="1"/>
      <w:marLeft w:val="0"/>
      <w:marRight w:val="0"/>
      <w:marTop w:val="0"/>
      <w:marBottom w:val="0"/>
      <w:divBdr>
        <w:top w:val="none" w:sz="0" w:space="0" w:color="auto"/>
        <w:left w:val="none" w:sz="0" w:space="0" w:color="auto"/>
        <w:bottom w:val="none" w:sz="0" w:space="0" w:color="auto"/>
        <w:right w:val="none" w:sz="0" w:space="0" w:color="auto"/>
      </w:divBdr>
    </w:div>
    <w:div w:id="1259371233">
      <w:bodyDiv w:val="1"/>
      <w:marLeft w:val="0"/>
      <w:marRight w:val="0"/>
      <w:marTop w:val="0"/>
      <w:marBottom w:val="0"/>
      <w:divBdr>
        <w:top w:val="none" w:sz="0" w:space="0" w:color="auto"/>
        <w:left w:val="none" w:sz="0" w:space="0" w:color="auto"/>
        <w:bottom w:val="none" w:sz="0" w:space="0" w:color="auto"/>
        <w:right w:val="none" w:sz="0" w:space="0" w:color="auto"/>
      </w:divBdr>
    </w:div>
    <w:div w:id="1269117753">
      <w:bodyDiv w:val="1"/>
      <w:marLeft w:val="0"/>
      <w:marRight w:val="0"/>
      <w:marTop w:val="0"/>
      <w:marBottom w:val="0"/>
      <w:divBdr>
        <w:top w:val="none" w:sz="0" w:space="0" w:color="auto"/>
        <w:left w:val="none" w:sz="0" w:space="0" w:color="auto"/>
        <w:bottom w:val="none" w:sz="0" w:space="0" w:color="auto"/>
        <w:right w:val="none" w:sz="0" w:space="0" w:color="auto"/>
      </w:divBdr>
    </w:div>
    <w:div w:id="1631354768">
      <w:bodyDiv w:val="1"/>
      <w:marLeft w:val="0"/>
      <w:marRight w:val="0"/>
      <w:marTop w:val="0"/>
      <w:marBottom w:val="0"/>
      <w:divBdr>
        <w:top w:val="none" w:sz="0" w:space="0" w:color="auto"/>
        <w:left w:val="none" w:sz="0" w:space="0" w:color="auto"/>
        <w:bottom w:val="none" w:sz="0" w:space="0" w:color="auto"/>
        <w:right w:val="none" w:sz="0" w:space="0" w:color="auto"/>
      </w:divBdr>
    </w:div>
    <w:div w:id="17932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ms.energytraderseurope.org/storage/uploads/media/efet-memorandum-commodity-derivative-clearing-under-emir-a-cross-jurisdictional-analysis-041021.pdf" TargetMode="External"/><Relationship Id="rId13" Type="http://schemas.openxmlformats.org/officeDocument/2006/relationships/hyperlink" Target="https://www.eurogas.org/wp-content/uploads/2024/10/JEAG-EMIR-3.0-PP-on-level2-measures-20241014.pdf" TargetMode="External"/><Relationship Id="rId3" Type="http://schemas.openxmlformats.org/officeDocument/2006/relationships/hyperlink" Target="https://www.eurogas.org/wp-content/uploads/2024/10/JEAG-EMIR-3.0-PP-on-level2-measures-20241014.pdf" TargetMode="External"/><Relationship Id="rId7" Type="http://schemas.openxmlformats.org/officeDocument/2006/relationships/hyperlink" Target="https://www.federalregister.gov/documents/2018/11/13/2018-24579/de-minimis" TargetMode="External"/><Relationship Id="rId12" Type="http://schemas.openxmlformats.org/officeDocument/2006/relationships/hyperlink" Target="https://cms.energytraderseurope.org/storage/uploads/media/220531-msc-rep-frontier-emir-cct-review.pdf" TargetMode="External"/><Relationship Id="rId2" Type="http://schemas.openxmlformats.org/officeDocument/2006/relationships/hyperlink" Target="https://cms.energytraderseurope.org/storage/uploads/media/220531-msc-rep-frontier-emir-cct-review.pdf" TargetMode="External"/><Relationship Id="rId1" Type="http://schemas.openxmlformats.org/officeDocument/2006/relationships/hyperlink" Target="https://www.esma.europa.eu/sites/default/files/library/esma70-451-502_report_on_the_review_of_the_clearing_thresholds_under_emir.pdf" TargetMode="External"/><Relationship Id="rId6" Type="http://schemas.openxmlformats.org/officeDocument/2006/relationships/hyperlink" Target="https://cms.energytraderseurope.org/storage/uploads/media/frontier-luther---principles-of-energy-market-regulation-19042024.pdf" TargetMode="External"/><Relationship Id="rId11" Type="http://schemas.openxmlformats.org/officeDocument/2006/relationships/hyperlink" Target="https://www.eurogas.org/wp-content/uploads/2024/10/JEAG-EMIR-3.0-PP-on-level2-measures-20241014.pdf" TargetMode="External"/><Relationship Id="rId5" Type="http://schemas.openxmlformats.org/officeDocument/2006/relationships/hyperlink" Target="https://cms.energytraderseurope.org/storage/uploads/media/efet-memorandum-commodity-derivative-clearing-under-emir-a-cross-jurisdictional-analysis-041021.pdf" TargetMode="External"/><Relationship Id="rId15" Type="http://schemas.openxmlformats.org/officeDocument/2006/relationships/hyperlink" Target="https://cms.energytraderseurope.org/storage/uploads/media/220531-msc-rep-frontier-emir-cct-review.pdf" TargetMode="External"/><Relationship Id="rId10" Type="http://schemas.openxmlformats.org/officeDocument/2006/relationships/hyperlink" Target="https://cms.energytraderseurope.org/storage/uploads/media/220531-msc-rep-frontier-emir-cct-review.pdf" TargetMode="External"/><Relationship Id="rId4" Type="http://schemas.openxmlformats.org/officeDocument/2006/relationships/hyperlink" Target="https://cms.energytraderseurope.org/storage/uploads/media/220531-msc-rep-frontier-emir-cct-review.pdf" TargetMode="External"/><Relationship Id="rId9" Type="http://schemas.openxmlformats.org/officeDocument/2006/relationships/hyperlink" Target="https://www.esma.europa.eu/sites/default/files/2024-05/ESMA24-450544452-2130_Position_paper_Building_more_effective_and_attractive_capital_markets_in_the_EU.pdf" TargetMode="External"/><Relationship Id="rId14" Type="http://schemas.openxmlformats.org/officeDocument/2006/relationships/hyperlink" Target="https://climate.ec.europa.eu/document/download/31875b4f-39b9-4cde-a4e2-fbb8f65ee703_en?filename=policy_transport_shipping_gd1_maritime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DOCS!129887629.1</documentid>
  <senderid>LB20</senderid>
  <senderemail>LEYA.BEIDAS@FIELDFISHER.COM</senderemail>
  <lastmodified>2025-06-16T13:28:00.0000000+01:00</lastmodified>
  <database>DOCS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C4BF-2E8A-4BB5-A5F8-89AEE6DE2A04}">
  <ds:schemaRefs>
    <ds:schemaRef ds:uri="http://www.imanage.com/work/xmlschema"/>
  </ds:schemaRefs>
</ds:datastoreItem>
</file>

<file path=customXml/itemProps2.xml><?xml version="1.0" encoding="utf-8"?>
<ds:datastoreItem xmlns:ds="http://schemas.openxmlformats.org/officeDocument/2006/customXml" ds:itemID="{28344D11-0929-42E5-96BD-913003B6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4868</Words>
  <Characters>27753</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Fieldfisher</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Beau-Morgan Murphy</dc:creator>
  <cp:keywords/>
  <dc:description/>
  <cp:lastModifiedBy>Kirsten Hyde</cp:lastModifiedBy>
  <cp:revision>2</cp:revision>
  <cp:lastPrinted>2025-06-16T10:03:00Z</cp:lastPrinted>
  <dcterms:created xsi:type="dcterms:W3CDTF">2025-06-20T08:50:00Z</dcterms:created>
  <dcterms:modified xsi:type="dcterms:W3CDTF">2025-06-20T08:50:00Z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DOCS\129837674\2</vt:lpwstr>
  </property>
</Properties>
</file>