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43A940BE" w:rsidR="00C85C8B" w:rsidRPr="00B16706" w:rsidRDefault="004E05F7" w:rsidP="00C85C8B">
                <w:pPr>
                  <w:rPr>
                    <w:rFonts w:ascii="Arial" w:hAnsi="Arial" w:cs="Arial"/>
                    <w:color w:val="808080"/>
                    <w:sz w:val="16"/>
                    <w:szCs w:val="20"/>
                    <w:lang w:eastAsia="de-DE"/>
                  </w:rPr>
                </w:pPr>
                <w:r>
                  <w:rPr>
                    <w:rFonts w:ascii="Arial" w:hAnsi="Arial" w:cs="Arial"/>
                    <w:color w:val="808080"/>
                    <w:sz w:val="16"/>
                    <w:szCs w:val="20"/>
                    <w:lang w:eastAsia="de-DE"/>
                  </w:rPr>
                  <w:t>FIA</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8C09EE3" w:rsidR="00C85C8B" w:rsidRPr="00B16706" w:rsidRDefault="00944495"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571E7">
                  <w:rPr>
                    <w:rFonts w:ascii="Arial" w:hAnsi="Arial" w:cs="Arial"/>
                    <w:sz w:val="16"/>
                    <w:szCs w:val="20"/>
                    <w:lang w:eastAsia="de-DE"/>
                  </w:rPr>
                  <w:t>Other Financial service providers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02CC244B" w:rsidR="00C85C8B" w:rsidRPr="00B16706" w:rsidRDefault="003571E7"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7C110BE" w:rsidR="00C85C8B" w:rsidRPr="00B16706" w:rsidRDefault="00EE46BB"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2D56495F" w14:textId="2A1EBFD6" w:rsidR="00DD12A3" w:rsidRDefault="00DD12A3" w:rsidP="00DD12A3">
      <w:pPr>
        <w:rPr>
          <w:sz w:val="22"/>
          <w:szCs w:val="22"/>
        </w:rPr>
      </w:pPr>
      <w:permStart w:id="911553143" w:edGrp="everyone"/>
      <w:r>
        <w:t xml:space="preserve">FIA members support removing the special process of collection and distribution of penalties by CCPs for cleared transactions. This </w:t>
      </w:r>
      <w:r w:rsidR="009B7222">
        <w:t xml:space="preserve">will </w:t>
      </w:r>
      <w:r>
        <w:t>allow for the centralisation of collection and distribution process of cash penalties for both cleared and uncleared transactions upon a single entity (CSD), allowing for a more straightforward and consistent approach, fully centred on the settlement step regardless of trading flow.</w:t>
      </w:r>
    </w:p>
    <w:p w14:paraId="62499F3F" w14:textId="77777777" w:rsidR="00DD12A3" w:rsidRDefault="00DD12A3" w:rsidP="00DD12A3"/>
    <w:p w14:paraId="3D6F16A5" w14:textId="2B67AD72" w:rsidR="00DD12A3" w:rsidRPr="009B7222" w:rsidRDefault="00DD12A3" w:rsidP="00DD12A3">
      <w:r w:rsidRPr="009B7222">
        <w:t>Specifically, we would like to emphasise that:</w:t>
      </w:r>
    </w:p>
    <w:p w14:paraId="69C47ADA" w14:textId="77777777" w:rsidR="00DD12A3" w:rsidRPr="009B7222" w:rsidRDefault="00DD12A3" w:rsidP="00DD12A3"/>
    <w:p w14:paraId="31A9DEE7" w14:textId="05FF63A8" w:rsidR="00DD12A3" w:rsidRPr="009B7222" w:rsidRDefault="00DD12A3" w:rsidP="009B7222">
      <w:pPr>
        <w:pStyle w:val="ListParagraph"/>
      </w:pPr>
      <w:r w:rsidRPr="009B7222">
        <w:t xml:space="preserve">Removing the CCPs from the </w:t>
      </w:r>
      <w:r w:rsidR="009B7222">
        <w:t>cash penalties (</w:t>
      </w:r>
      <w:r w:rsidRPr="009B7222">
        <w:t>CP</w:t>
      </w:r>
      <w:r w:rsidR="009B7222">
        <w:t>)</w:t>
      </w:r>
      <w:r w:rsidRPr="009B7222">
        <w:t xml:space="preserve"> process will reduce risk and improve the operating environment. This is because:</w:t>
      </w:r>
    </w:p>
    <w:p w14:paraId="5CD9185C" w14:textId="77777777" w:rsidR="00DD12A3" w:rsidRDefault="00DD12A3" w:rsidP="00DD12A3">
      <w:pPr>
        <w:numPr>
          <w:ilvl w:val="0"/>
          <w:numId w:val="31"/>
        </w:numPr>
      </w:pPr>
      <w:r w:rsidRPr="009B7222">
        <w:t>Two operational frameworks to follow (‘EACH’ and ‘ECSDA’) create</w:t>
      </w:r>
      <w:r>
        <w:t xml:space="preserve"> operational complexity further magnified by individual FMI’s divergence from the relevant standards.</w:t>
      </w:r>
    </w:p>
    <w:p w14:paraId="0F887677" w14:textId="77777777" w:rsidR="00DD12A3" w:rsidRDefault="00DD12A3" w:rsidP="00DD12A3">
      <w:pPr>
        <w:numPr>
          <w:ilvl w:val="0"/>
          <w:numId w:val="31"/>
        </w:numPr>
      </w:pPr>
      <w:r>
        <w:t xml:space="preserve">Bifurcated reporting / payment processes increase: </w:t>
      </w:r>
    </w:p>
    <w:p w14:paraId="01355C12" w14:textId="77777777" w:rsidR="00DD12A3" w:rsidRDefault="00DD12A3" w:rsidP="00DD12A3">
      <w:pPr>
        <w:numPr>
          <w:ilvl w:val="1"/>
          <w:numId w:val="31"/>
        </w:numPr>
      </w:pPr>
      <w:r>
        <w:t xml:space="preserve">The number of reconciliation processes </w:t>
      </w:r>
    </w:p>
    <w:p w14:paraId="7719D1C9" w14:textId="77777777" w:rsidR="00DD12A3" w:rsidRDefault="00DD12A3" w:rsidP="00DD12A3">
      <w:pPr>
        <w:numPr>
          <w:ilvl w:val="1"/>
          <w:numId w:val="31"/>
        </w:numPr>
      </w:pPr>
      <w:r>
        <w:t xml:space="preserve">Scale of operational support </w:t>
      </w:r>
    </w:p>
    <w:p w14:paraId="34921584" w14:textId="77777777" w:rsidR="00DD12A3" w:rsidRDefault="00DD12A3" w:rsidP="00DD12A3">
      <w:pPr>
        <w:numPr>
          <w:ilvl w:val="0"/>
          <w:numId w:val="31"/>
        </w:numPr>
      </w:pPr>
      <w:r>
        <w:t xml:space="preserve">Removing CCPs will: </w:t>
      </w:r>
    </w:p>
    <w:p w14:paraId="635033F4" w14:textId="77777777" w:rsidR="00DD12A3" w:rsidRDefault="00DD12A3" w:rsidP="00DD12A3">
      <w:pPr>
        <w:numPr>
          <w:ilvl w:val="1"/>
          <w:numId w:val="31"/>
        </w:numPr>
      </w:pPr>
      <w:r>
        <w:t xml:space="preserve">Result in a single report / payment per market / CSD </w:t>
      </w:r>
    </w:p>
    <w:p w14:paraId="16E61107" w14:textId="77777777" w:rsidR="00DD12A3" w:rsidRDefault="00DD12A3" w:rsidP="00DD12A3">
      <w:pPr>
        <w:numPr>
          <w:ilvl w:val="1"/>
          <w:numId w:val="31"/>
        </w:numPr>
      </w:pPr>
      <w:r>
        <w:t>Increase transparency of what trades have incurred penalties and improve reconciliation since not all CCPs are providing a transactional breakdown</w:t>
      </w:r>
    </w:p>
    <w:p w14:paraId="1327F6EA" w14:textId="77777777" w:rsidR="00DD12A3" w:rsidRDefault="00DD12A3" w:rsidP="00DD12A3">
      <w:pPr>
        <w:numPr>
          <w:ilvl w:val="1"/>
          <w:numId w:val="31"/>
        </w:numPr>
      </w:pPr>
      <w:r>
        <w:t>Reduce the actors in the CP chain thereby reducing the touchpoints and potential for delays in the reporting / payment cascade</w:t>
      </w:r>
    </w:p>
    <w:p w14:paraId="7F38196A" w14:textId="77777777" w:rsidR="00DD12A3" w:rsidRDefault="00DD12A3" w:rsidP="00DD12A3">
      <w:pPr>
        <w:numPr>
          <w:ilvl w:val="1"/>
          <w:numId w:val="31"/>
        </w:numPr>
      </w:pPr>
      <w:r>
        <w:t xml:space="preserve">Simplify the operating environment for market participants, streamlining processes and resource allocation </w:t>
      </w:r>
    </w:p>
    <w:p w14:paraId="2633F05E" w14:textId="77777777" w:rsidR="00DD12A3" w:rsidRDefault="00DD12A3" w:rsidP="00DD12A3">
      <w:pPr>
        <w:numPr>
          <w:ilvl w:val="1"/>
          <w:numId w:val="31"/>
        </w:numPr>
      </w:pPr>
      <w:r>
        <w:t xml:space="preserve">Facilitate the removal of the ‘CMPU’ flag in the CP </w:t>
      </w:r>
      <w:proofErr w:type="gramStart"/>
      <w:r>
        <w:t>reporting</w:t>
      </w:r>
      <w:proofErr w:type="gramEnd"/>
      <w:r>
        <w:t xml:space="preserve"> which is used inconsistently and incorrectly by some CCPs, CSDs and settlement agents diverging from SMPG market practice</w:t>
      </w:r>
    </w:p>
    <w:p w14:paraId="31991F8A" w14:textId="71DD136B" w:rsidR="00DD12A3" w:rsidRDefault="00DD12A3" w:rsidP="00DD12A3">
      <w:pPr>
        <w:numPr>
          <w:ilvl w:val="1"/>
          <w:numId w:val="31"/>
        </w:numPr>
      </w:pPr>
      <w:r>
        <w:t>Reduce financial risk for certain clearing members</w:t>
      </w:r>
    </w:p>
    <w:p w14:paraId="5A5BBF5B" w14:textId="77777777" w:rsidR="00DD12A3" w:rsidRDefault="00DD12A3" w:rsidP="00DD12A3">
      <w:pPr>
        <w:ind w:left="1440"/>
        <w:rPr>
          <w:rFonts w:eastAsiaTheme="minorHAnsi"/>
        </w:rPr>
      </w:pPr>
    </w:p>
    <w:p w14:paraId="0CC8F82E" w14:textId="493EF76B" w:rsidR="00DD12A3" w:rsidRPr="009B7222" w:rsidRDefault="00DD12A3" w:rsidP="009B7222">
      <w:pPr>
        <w:pStyle w:val="ListParagraph"/>
      </w:pPr>
      <w:r w:rsidRPr="009B7222">
        <w:t>Sunken costs will be lost but a single cascade of cash penalties instigated by the CSDs will improve resource allocation and reduce the technical overheads of a split process.</w:t>
      </w:r>
    </w:p>
    <w:p w14:paraId="79199812" w14:textId="19247D2B" w:rsidR="00A31F09" w:rsidRDefault="009B7222" w:rsidP="00A31F09">
      <w:r>
        <w:t>[</w:t>
      </w:r>
      <w:r w:rsidRPr="00B902A1">
        <w:rPr>
          <w:b/>
          <w:bCs/>
        </w:rPr>
        <w:t>Note to members</w:t>
      </w:r>
      <w:r>
        <w:t xml:space="preserve">: </w:t>
      </w:r>
      <w:r w:rsidR="00B902A1">
        <w:t xml:space="preserve">It would be helpful to </w:t>
      </w:r>
      <w:r>
        <w:t>provide</w:t>
      </w:r>
      <w:r w:rsidR="00B902A1">
        <w:t xml:space="preserve"> ESMA</w:t>
      </w:r>
      <w:r>
        <w:t xml:space="preserve"> practical examples/evidence of </w:t>
      </w:r>
      <w:r w:rsidR="00DD12A3">
        <w:t>clear benefits of centralizing the penalty collection and distribution process</w:t>
      </w:r>
      <w:r w:rsidR="00B902A1">
        <w:t>.</w:t>
      </w:r>
      <w:r w:rsidR="00983F11">
        <w:t xml:space="preserve"> Please send them across to us if you have them readily available.</w:t>
      </w:r>
      <w:r w:rsidR="00B902A1">
        <w:t xml:space="preserve"> </w:t>
      </w:r>
      <w:permEnd w:id="911553143"/>
      <w:r w:rsidR="00A31F09">
        <w:t>&lt;ESMA_QUESTION_SETD_1&gt;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2AD5456E" w14:textId="32481D60" w:rsidR="00DD12A3" w:rsidRDefault="00B315FA" w:rsidP="00DD12A3">
      <w:pPr>
        <w:rPr>
          <w:sz w:val="22"/>
          <w:szCs w:val="22"/>
        </w:rPr>
      </w:pPr>
      <w:permStart w:id="2081231068" w:edGrp="everyone"/>
      <w:r>
        <w:lastRenderedPageBreak/>
        <w:t>FIA members</w:t>
      </w:r>
      <w:r w:rsidR="00DD12A3">
        <w:t xml:space="preserve"> agree with the suggested model so that any imbalanced positions would be ultimately covered by the CCP.</w:t>
      </w:r>
    </w:p>
    <w:p w14:paraId="52D54D8C" w14:textId="77777777" w:rsidR="00DD12A3" w:rsidRDefault="00DD12A3" w:rsidP="00DD12A3"/>
    <w:p w14:paraId="2C49902B" w14:textId="7A0195B1" w:rsidR="00151B6D" w:rsidRPr="00EE46BB" w:rsidRDefault="00DD12A3" w:rsidP="00151B6D">
      <w:r>
        <w:t>Due to a lack of quantitative data</w:t>
      </w:r>
      <w:r w:rsidR="00B315FA">
        <w:t>, FIA</w:t>
      </w:r>
      <w:r>
        <w:t xml:space="preserve"> has no </w:t>
      </w:r>
      <w:proofErr w:type="gramStart"/>
      <w:r>
        <w:t>particular opinion</w:t>
      </w:r>
      <w:proofErr w:type="gramEnd"/>
      <w:r>
        <w:t xml:space="preserve"> at this stage on the approach to be taken by the CCP (mutualization or identification of the CCP member responsible for the difference)</w:t>
      </w:r>
      <w:r w:rsidR="00983F11">
        <w:t xml:space="preserve">. </w:t>
      </w:r>
      <w:r w:rsidR="00151B6D" w:rsidRPr="00EE46BB">
        <w:t xml:space="preserve">We note, however, that mutualization may risk undermining the general principle that the impacted </w:t>
      </w:r>
      <w:proofErr w:type="gramStart"/>
      <w:r w:rsidR="00151B6D" w:rsidRPr="00EE46BB">
        <w:t>parties</w:t>
      </w:r>
      <w:proofErr w:type="gramEnd"/>
      <w:r w:rsidR="00151B6D" w:rsidRPr="00EE46BB">
        <w:t xml:space="preserve"> of settlement fails should have a neutral penalty outcome. We are also concerned that mutualization could negatively impact smaller participants with a good settlement discipline.</w:t>
      </w:r>
    </w:p>
    <w:p w14:paraId="758937AD" w14:textId="77777777" w:rsidR="00DD12A3" w:rsidRDefault="00DD12A3" w:rsidP="00DD12A3"/>
    <w:p w14:paraId="2C29D146" w14:textId="25074C37" w:rsidR="00DD12A3" w:rsidRDefault="00DD12A3" w:rsidP="00DD12A3">
      <w:r>
        <w:rPr>
          <w:lang w:val="en-US"/>
        </w:rPr>
        <w:t xml:space="preserve">Most importantly, </w:t>
      </w:r>
      <w:r w:rsidR="00B315FA">
        <w:rPr>
          <w:lang w:val="en-US"/>
        </w:rPr>
        <w:t>FIA</w:t>
      </w:r>
      <w:r>
        <w:rPr>
          <w:lang w:val="en-US"/>
        </w:rPr>
        <w:t xml:space="preserve"> is of the view that an additional paragraph should be added to the proposal to confirm that CSDR </w:t>
      </w:r>
      <w:r w:rsidR="00B315FA">
        <w:rPr>
          <w:lang w:val="en-US"/>
        </w:rPr>
        <w:t>cash penalties</w:t>
      </w:r>
      <w:r>
        <w:rPr>
          <w:lang w:val="en-US"/>
        </w:rPr>
        <w:t xml:space="preserve"> still apply to CCP trades and that CCPs are not allowed to implement their own cash-penalty regime, as it is just the administration of CSDR </w:t>
      </w:r>
      <w:r w:rsidR="00B315FA">
        <w:rPr>
          <w:lang w:val="en-US"/>
        </w:rPr>
        <w:t>cash penalties</w:t>
      </w:r>
      <w:r>
        <w:rPr>
          <w:lang w:val="en-US"/>
        </w:rPr>
        <w:t xml:space="preserve"> that is proposed to change.</w:t>
      </w:r>
    </w:p>
    <w:permEnd w:id="2081231068"/>
    <w:p w14:paraId="58994ED7" w14:textId="77777777" w:rsidR="00A31F09" w:rsidRDefault="00A31F09" w:rsidP="00A31F09">
      <w:r>
        <w:t>&lt;ESMA_QUESTION_SETD_2&gt;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67A954AB" w14:textId="569BC9B5" w:rsidR="00DD12A3" w:rsidRDefault="00B315FA" w:rsidP="00DD12A3">
      <w:pPr>
        <w:rPr>
          <w:sz w:val="22"/>
          <w:szCs w:val="22"/>
        </w:rPr>
      </w:pPr>
      <w:permStart w:id="1439189165" w:edGrp="everyone"/>
      <w:r>
        <w:t>FIA members</w:t>
      </w:r>
      <w:r w:rsidR="00DD12A3">
        <w:t xml:space="preserve"> believe that the benefits of removing the special process of collection and distribution of penalties by CCPs for cleared transactions is clear. </w:t>
      </w:r>
      <w:r w:rsidR="00983F11">
        <w:t>We</w:t>
      </w:r>
      <w:r w:rsidR="00DD12A3">
        <w:t xml:space="preserve"> therefore recommend that the amendment is introduced without additional delays, as the burden imposed by a bifurcated regime is ultimately detrimental to the smooth running of the CSDR Cash Penalty regime and the EEA’s capital markets. Therefore, </w:t>
      </w:r>
      <w:r>
        <w:t>we</w:t>
      </w:r>
      <w:r w:rsidR="00DD12A3">
        <w:t xml:space="preserve"> recommend that a </w:t>
      </w:r>
      <w:proofErr w:type="gramStart"/>
      <w:r w:rsidR="00DD12A3">
        <w:t>6 month</w:t>
      </w:r>
      <w:proofErr w:type="gramEnd"/>
      <w:r w:rsidR="00DD12A3">
        <w:t xml:space="preserve"> delay be the latest implementation date for each CSD to take-over the process.</w:t>
      </w:r>
    </w:p>
    <w:p w14:paraId="662204C7" w14:textId="77777777" w:rsidR="00DD12A3" w:rsidRDefault="00DD12A3" w:rsidP="00DD12A3"/>
    <w:p w14:paraId="421E2C45" w14:textId="1958FCBB" w:rsidR="00DD12A3" w:rsidRDefault="00DD12A3" w:rsidP="00DD12A3">
      <w:r>
        <w:t xml:space="preserve">Additionally, </w:t>
      </w:r>
      <w:r w:rsidR="00B315FA">
        <w:t>we note</w:t>
      </w:r>
      <w:r>
        <w:t xml:space="preserve"> that those CCPs and CSDs capable of implementing the amendment earlier than others should </w:t>
      </w:r>
      <w:r>
        <w:rPr>
          <w:u w:val="single"/>
        </w:rPr>
        <w:t>not</w:t>
      </w:r>
      <w:r>
        <w:t xml:space="preserve"> be prevented from doing so, as implementation in unison is not seen as a technical necessity. </w:t>
      </w:r>
    </w:p>
    <w:p w14:paraId="1A953513" w14:textId="77777777" w:rsidR="00DD12A3" w:rsidRDefault="00DD12A3" w:rsidP="00DD12A3"/>
    <w:p w14:paraId="6921E3DB" w14:textId="77777777" w:rsidR="00DD12A3" w:rsidRDefault="00DD12A3" w:rsidP="00DD12A3">
      <w:r>
        <w:t>However, collaboration and transparency from the FMIs, as well as for any technical requirements to be fully tested, remain essential to ensure that all cleared trades are included in the CSDs daily / monthly reporting and payment process and that any changes implemented do not impact the operation of the broader CP regime.</w:t>
      </w:r>
    </w:p>
    <w:permEnd w:id="1439189165"/>
    <w:p w14:paraId="031D9D4B" w14:textId="77777777" w:rsidR="00A31F09" w:rsidRDefault="00A31F09" w:rsidP="00A31F09">
      <w:r>
        <w:t>&lt;ESMA_QUESTION_SETD_3&gt;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86C0B" w14:textId="77777777" w:rsidR="004F181A" w:rsidRDefault="004F181A" w:rsidP="007E7997">
      <w:r>
        <w:separator/>
      </w:r>
    </w:p>
  </w:endnote>
  <w:endnote w:type="continuationSeparator" w:id="0">
    <w:p w14:paraId="65856391" w14:textId="77777777" w:rsidR="004F181A" w:rsidRDefault="004F181A" w:rsidP="007E7997">
      <w:r>
        <w:continuationSeparator/>
      </w:r>
    </w:p>
  </w:endnote>
  <w:endnote w:type="continuationNotice" w:id="1">
    <w:p w14:paraId="28629722" w14:textId="77777777" w:rsidR="004F181A" w:rsidRDefault="004F1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7BBE207B"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590F" w14:textId="77777777" w:rsidR="004F181A" w:rsidRDefault="004F181A" w:rsidP="007E7997">
      <w:r>
        <w:separator/>
      </w:r>
    </w:p>
  </w:footnote>
  <w:footnote w:type="continuationSeparator" w:id="0">
    <w:p w14:paraId="55F1DFB4" w14:textId="77777777" w:rsidR="004F181A" w:rsidRDefault="004F181A" w:rsidP="007E7997">
      <w:r>
        <w:continuationSeparator/>
      </w:r>
    </w:p>
  </w:footnote>
  <w:footnote w:type="continuationNotice" w:id="1">
    <w:p w14:paraId="4E287597" w14:textId="77777777" w:rsidR="004F181A" w:rsidRDefault="004F18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Header"/>
    </w:pPr>
    <w:r>
      <w:rPr>
        <w:noProof/>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661DB"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513375B"/>
    <w:multiLevelType w:val="hybridMultilevel"/>
    <w:tmpl w:val="9D74E2FE"/>
    <w:lvl w:ilvl="0" w:tplc="DF34799C">
      <w:start w:val="1"/>
      <w:numFmt w:val="bullet"/>
      <w:lvlText w:val="-"/>
      <w:lvlJc w:val="left"/>
      <w:pPr>
        <w:ind w:left="1776" w:hanging="360"/>
      </w:pPr>
      <w:rPr>
        <w:rFonts w:ascii="Calibri" w:eastAsia="Calibri" w:hAnsi="Calibri" w:cs="Calibri" w:hint="default"/>
        <w:b/>
      </w:rPr>
    </w:lvl>
    <w:lvl w:ilvl="1" w:tplc="60807C24">
      <w:start w:val="1"/>
      <w:numFmt w:val="bullet"/>
      <w:lvlText w:val="o"/>
      <w:lvlJc w:val="left"/>
      <w:pPr>
        <w:ind w:left="2496" w:hanging="360"/>
      </w:pPr>
      <w:rPr>
        <w:rFonts w:ascii="Courier New" w:hAnsi="Courier New" w:cs="Courier New" w:hint="default"/>
      </w:rPr>
    </w:lvl>
    <w:lvl w:ilvl="2" w:tplc="20000005">
      <w:start w:val="1"/>
      <w:numFmt w:val="bullet"/>
      <w:lvlText w:val=""/>
      <w:lvlJc w:val="left"/>
      <w:pPr>
        <w:ind w:left="3216" w:hanging="360"/>
      </w:pPr>
      <w:rPr>
        <w:rFonts w:ascii="Wingdings" w:hAnsi="Wingdings" w:hint="default"/>
      </w:rPr>
    </w:lvl>
    <w:lvl w:ilvl="3" w:tplc="20000001">
      <w:start w:val="1"/>
      <w:numFmt w:val="bullet"/>
      <w:lvlText w:val=""/>
      <w:lvlJc w:val="left"/>
      <w:pPr>
        <w:ind w:left="3936" w:hanging="360"/>
      </w:pPr>
      <w:rPr>
        <w:rFonts w:ascii="Symbol" w:hAnsi="Symbol" w:hint="default"/>
      </w:rPr>
    </w:lvl>
    <w:lvl w:ilvl="4" w:tplc="20000003">
      <w:start w:val="1"/>
      <w:numFmt w:val="bullet"/>
      <w:lvlText w:val="o"/>
      <w:lvlJc w:val="left"/>
      <w:pPr>
        <w:ind w:left="4656" w:hanging="360"/>
      </w:pPr>
      <w:rPr>
        <w:rFonts w:ascii="Courier New" w:hAnsi="Courier New" w:cs="Courier New" w:hint="default"/>
      </w:rPr>
    </w:lvl>
    <w:lvl w:ilvl="5" w:tplc="20000005">
      <w:start w:val="1"/>
      <w:numFmt w:val="bullet"/>
      <w:lvlText w:val=""/>
      <w:lvlJc w:val="left"/>
      <w:pPr>
        <w:ind w:left="5376" w:hanging="360"/>
      </w:pPr>
      <w:rPr>
        <w:rFonts w:ascii="Wingdings" w:hAnsi="Wingdings" w:hint="default"/>
      </w:rPr>
    </w:lvl>
    <w:lvl w:ilvl="6" w:tplc="20000001">
      <w:start w:val="1"/>
      <w:numFmt w:val="bullet"/>
      <w:lvlText w:val=""/>
      <w:lvlJc w:val="left"/>
      <w:pPr>
        <w:ind w:left="6096" w:hanging="360"/>
      </w:pPr>
      <w:rPr>
        <w:rFonts w:ascii="Symbol" w:hAnsi="Symbol" w:hint="default"/>
      </w:rPr>
    </w:lvl>
    <w:lvl w:ilvl="7" w:tplc="20000003">
      <w:start w:val="1"/>
      <w:numFmt w:val="bullet"/>
      <w:lvlText w:val="o"/>
      <w:lvlJc w:val="left"/>
      <w:pPr>
        <w:ind w:left="6816" w:hanging="360"/>
      </w:pPr>
      <w:rPr>
        <w:rFonts w:ascii="Courier New" w:hAnsi="Courier New" w:cs="Courier New" w:hint="default"/>
      </w:rPr>
    </w:lvl>
    <w:lvl w:ilvl="8" w:tplc="20000005">
      <w:start w:val="1"/>
      <w:numFmt w:val="bullet"/>
      <w:lvlText w:val=""/>
      <w:lvlJc w:val="left"/>
      <w:pPr>
        <w:ind w:left="7536" w:hanging="360"/>
      </w:pPr>
      <w:rPr>
        <w:rFonts w:ascii="Wingdings" w:hAnsi="Wingdings" w:hint="default"/>
      </w:r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9A3676F0"/>
    <w:lvl w:ilvl="0">
      <w:start w:val="1"/>
      <w:numFmt w:val="decimal"/>
      <w:lvlText w:val="%1."/>
      <w:lvlJc w:val="left"/>
      <w:pPr>
        <w:tabs>
          <w:tab w:val="num" w:pos="720"/>
        </w:tabs>
        <w:ind w:left="720" w:hanging="720"/>
      </w:pPr>
    </w:lvl>
    <w:lvl w:ilvl="1">
      <w:start w:val="1"/>
      <w:numFmt w:val="decimal"/>
      <w:pStyle w:val="ListParagraph"/>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2"/>
  </w:num>
  <w:num w:numId="4" w16cid:durableId="1880320868">
    <w:abstractNumId w:val="3"/>
  </w:num>
  <w:num w:numId="5" w16cid:durableId="290864581">
    <w:abstractNumId w:val="12"/>
  </w:num>
  <w:num w:numId="6" w16cid:durableId="952590553">
    <w:abstractNumId w:val="24"/>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5"/>
  </w:num>
  <w:num w:numId="15" w16cid:durableId="986476960">
    <w:abstractNumId w:val="19"/>
  </w:num>
  <w:num w:numId="16" w16cid:durableId="398749299">
    <w:abstractNumId w:val="23"/>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4"/>
  </w:num>
  <w:num w:numId="20" w16cid:durableId="1306933315">
    <w:abstractNumId w:val="10"/>
  </w:num>
  <w:num w:numId="21" w16cid:durableId="1623876054">
    <w:abstractNumId w:val="21"/>
  </w:num>
  <w:num w:numId="22" w16cid:durableId="783383837">
    <w:abstractNumId w:val="14"/>
  </w:num>
  <w:num w:numId="23" w16cid:durableId="2112964618">
    <w:abstractNumId w:val="18"/>
  </w:num>
  <w:num w:numId="24" w16cid:durableId="1958565453">
    <w:abstractNumId w:val="0"/>
  </w:num>
  <w:num w:numId="25" w16cid:durableId="1372725395">
    <w:abstractNumId w:val="17"/>
  </w:num>
  <w:num w:numId="26" w16cid:durableId="1686445133">
    <w:abstractNumId w:val="15"/>
  </w:num>
  <w:num w:numId="27" w16cid:durableId="1247768697">
    <w:abstractNumId w:val="9"/>
  </w:num>
  <w:num w:numId="28" w16cid:durableId="954170948">
    <w:abstractNumId w:val="1"/>
  </w:num>
  <w:num w:numId="29" w16cid:durableId="837424337">
    <w:abstractNumId w:val="16"/>
  </w:num>
  <w:num w:numId="30" w16cid:durableId="299657983">
    <w:abstractNumId w:val="4"/>
  </w:num>
  <w:num w:numId="31" w16cid:durableId="160611062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51B6D"/>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035B"/>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1E7"/>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05F7"/>
    <w:rsid w:val="004E19C0"/>
    <w:rsid w:val="004E1C54"/>
    <w:rsid w:val="004E2C37"/>
    <w:rsid w:val="004E5285"/>
    <w:rsid w:val="004F0CF3"/>
    <w:rsid w:val="004F181A"/>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4495"/>
    <w:rsid w:val="0094528B"/>
    <w:rsid w:val="00960A8B"/>
    <w:rsid w:val="00965128"/>
    <w:rsid w:val="00973F43"/>
    <w:rsid w:val="0097785D"/>
    <w:rsid w:val="0098011D"/>
    <w:rsid w:val="00981912"/>
    <w:rsid w:val="009819C0"/>
    <w:rsid w:val="009835AD"/>
    <w:rsid w:val="00983F11"/>
    <w:rsid w:val="00987A75"/>
    <w:rsid w:val="00991A8A"/>
    <w:rsid w:val="00992611"/>
    <w:rsid w:val="00994303"/>
    <w:rsid w:val="0099526D"/>
    <w:rsid w:val="00996C8B"/>
    <w:rsid w:val="009A0054"/>
    <w:rsid w:val="009A0F6E"/>
    <w:rsid w:val="009A5548"/>
    <w:rsid w:val="009B25C1"/>
    <w:rsid w:val="009B7222"/>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15FA"/>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02A1"/>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2A3"/>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46BB"/>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ilvl w:val="0"/>
        <w:numId w:val="0"/>
      </w:numPr>
      <w:ind w:left="792" w:hanging="432"/>
    </w:pPr>
    <w:rPr>
      <w:b/>
      <w:sz w:val="28"/>
    </w:rPr>
  </w:style>
  <w:style w:type="character" w:customStyle="1" w:styleId="Title1Char">
    <w:name w:val="Title 1 Char"/>
    <w:basedOn w:val="DefaultParagraphFont"/>
    <w:link w:val="Title1"/>
    <w:rsid w:val="003C4EB5"/>
    <w:rPr>
      <w:rFonts w:ascii="Times New Roman" w:eastAsiaTheme="majorEastAsia" w:hAnsi="Times New Roman" w:cs="Times New Roman"/>
      <w:b/>
      <w:sz w:val="28"/>
      <w:szCs w:val="24"/>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9B7222"/>
    <w:pPr>
      <w:numPr>
        <w:ilvl w:val="1"/>
        <w:numId w:val="29"/>
      </w:numPr>
      <w:tabs>
        <w:tab w:val="left" w:pos="0"/>
        <w:tab w:val="left" w:pos="142"/>
        <w:tab w:val="left" w:pos="284"/>
        <w:tab w:val="left" w:pos="567"/>
      </w:tabs>
      <w:autoSpaceDE w:val="0"/>
      <w:autoSpaceDN w:val="0"/>
      <w:adjustRightInd w:val="0"/>
      <w:spacing w:line="264" w:lineRule="auto"/>
      <w:jc w:val="both"/>
    </w:pPr>
    <w:rPr>
      <w:rFonts w:eastAsiaTheme="majorEastAsia"/>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imes New Roman" w:eastAsiaTheme="majorEastAsia" w:hAnsi="Times New Roman" w:cs="Times New Roman"/>
      <w:b/>
      <w:sz w:val="28"/>
      <w:szCs w:val="24"/>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9B7222"/>
    <w:rPr>
      <w:rFonts w:ascii="Times New Roman" w:eastAsiaTheme="majorEastAsia" w:hAnsi="Times New Roman" w:cs="Times New Roman"/>
      <w:sz w:val="24"/>
      <w:szCs w:val="24"/>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8594299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88505842">
      <w:bodyDiv w:val="1"/>
      <w:marLeft w:val="0"/>
      <w:marRight w:val="0"/>
      <w:marTop w:val="0"/>
      <w:marBottom w:val="0"/>
      <w:divBdr>
        <w:top w:val="none" w:sz="0" w:space="0" w:color="auto"/>
        <w:left w:val="none" w:sz="0" w:space="0" w:color="auto"/>
        <w:bottom w:val="none" w:sz="0" w:space="0" w:color="auto"/>
        <w:right w:val="none" w:sz="0" w:space="0" w:color="auto"/>
      </w:divBdr>
    </w:div>
    <w:div w:id="1292664522">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02006066">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6</Pages>
  <Words>1161</Words>
  <Characters>6623</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Kirsten Hyde</cp:lastModifiedBy>
  <cp:revision>2</cp:revision>
  <cp:lastPrinted>2017-07-24T14:47:00Z</cp:lastPrinted>
  <dcterms:created xsi:type="dcterms:W3CDTF">2022-09-12T11:21:00Z</dcterms:created>
  <dcterms:modified xsi:type="dcterms:W3CDTF">2022-09-12T11:21:00Z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