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3805" w14:textId="77777777" w:rsidR="00EF4149" w:rsidRDefault="00EF4149">
      <w:pPr>
        <w:jc w:val="both"/>
        <w:rPr>
          <w:rFonts w:ascii="Verdana" w:eastAsia="Verdana" w:hAnsi="Verdana" w:cs="Verdana"/>
          <w:sz w:val="24"/>
          <w:szCs w:val="24"/>
        </w:rPr>
      </w:pPr>
    </w:p>
    <w:p w14:paraId="41A11FF6" w14:textId="77777777" w:rsidR="00EF4149" w:rsidRDefault="00000000">
      <w:pPr>
        <w:jc w:val="both"/>
        <w:rPr>
          <w:rFonts w:ascii="Verdana" w:eastAsia="Verdana" w:hAnsi="Verdana" w:cs="Verdana"/>
          <w:b/>
          <w:sz w:val="30"/>
          <w:szCs w:val="30"/>
        </w:rPr>
      </w:pPr>
      <w:r>
        <w:rPr>
          <w:rFonts w:ascii="Verdana" w:eastAsia="Verdana" w:hAnsi="Verdana" w:cs="Verdana"/>
          <w:b/>
          <w:sz w:val="30"/>
          <w:szCs w:val="30"/>
        </w:rPr>
        <w:t>2022 Coinbase Derivatives FIA Testing</w:t>
      </w:r>
    </w:p>
    <w:p w14:paraId="5D53FBDA" w14:textId="77777777" w:rsidR="00EF4149" w:rsidRDefault="00EF4149">
      <w:pPr>
        <w:jc w:val="both"/>
        <w:rPr>
          <w:rFonts w:ascii="Verdana" w:eastAsia="Verdana" w:hAnsi="Verdana" w:cs="Verdana"/>
          <w:b/>
          <w:sz w:val="24"/>
          <w:szCs w:val="24"/>
          <w:u w:val="single"/>
        </w:rPr>
      </w:pPr>
    </w:p>
    <w:p w14:paraId="79F1D214" w14:textId="77777777" w:rsidR="00EF4149" w:rsidRDefault="00000000">
      <w:pPr>
        <w:jc w:val="both"/>
        <w:rPr>
          <w:rFonts w:ascii="Verdana" w:eastAsia="Verdana" w:hAnsi="Verdana" w:cs="Verdana"/>
          <w:b/>
          <w:sz w:val="26"/>
          <w:szCs w:val="26"/>
          <w:u w:val="single"/>
        </w:rPr>
      </w:pPr>
      <w:r>
        <w:rPr>
          <w:rFonts w:ascii="Verdana" w:eastAsia="Verdana" w:hAnsi="Verdana" w:cs="Verdana"/>
          <w:b/>
          <w:sz w:val="26"/>
          <w:szCs w:val="26"/>
          <w:u w:val="single"/>
        </w:rPr>
        <w:t>Overview</w:t>
      </w:r>
    </w:p>
    <w:p w14:paraId="4D153B15" w14:textId="77777777" w:rsidR="00EF4149" w:rsidRDefault="00000000">
      <w:pPr>
        <w:spacing w:before="160" w:line="264" w:lineRule="auto"/>
        <w:jc w:val="both"/>
        <w:rPr>
          <w:rFonts w:ascii="Verdana" w:eastAsia="Verdana" w:hAnsi="Verdana" w:cs="Verdana"/>
          <w:sz w:val="24"/>
          <w:szCs w:val="24"/>
        </w:rPr>
      </w:pPr>
      <w:r>
        <w:rPr>
          <w:rFonts w:ascii="Verdana" w:eastAsia="Verdana" w:hAnsi="Verdana" w:cs="Verdana"/>
          <w:sz w:val="24"/>
          <w:szCs w:val="24"/>
        </w:rPr>
        <w:t>The Futures Industry Association (FIA) Annual Disaster Recovery Test will take place on Saturday, October 15</w:t>
      </w:r>
      <w:r>
        <w:rPr>
          <w:rFonts w:ascii="Verdana" w:eastAsia="Verdana" w:hAnsi="Verdana" w:cs="Verdana"/>
          <w:sz w:val="24"/>
          <w:szCs w:val="24"/>
          <w:vertAlign w:val="superscript"/>
        </w:rPr>
        <w:t>th</w:t>
      </w:r>
      <w:r>
        <w:rPr>
          <w:rFonts w:ascii="Verdana" w:eastAsia="Verdana" w:hAnsi="Verdana" w:cs="Verdana"/>
          <w:sz w:val="24"/>
          <w:szCs w:val="24"/>
        </w:rPr>
        <w:t>, 2022. Coinbase Derivatives Exchange (CDE) will be participating in this testing. The goal of this exercise is to test disaster recovery capabilities among futures commissions merchants, brokers, trading system providers, back-office service providers, and recovery services providers</w:t>
      </w:r>
    </w:p>
    <w:p w14:paraId="42886B2C" w14:textId="77777777" w:rsidR="00EF4149" w:rsidRDefault="00EF4149">
      <w:pPr>
        <w:jc w:val="both"/>
        <w:rPr>
          <w:rFonts w:ascii="Verdana" w:eastAsia="Verdana" w:hAnsi="Verdana" w:cs="Verdana"/>
          <w:sz w:val="24"/>
          <w:szCs w:val="24"/>
        </w:rPr>
      </w:pPr>
    </w:p>
    <w:p w14:paraId="068448F6" w14:textId="77777777" w:rsidR="00EF4149" w:rsidRDefault="00000000">
      <w:pPr>
        <w:jc w:val="both"/>
        <w:rPr>
          <w:rFonts w:ascii="Verdana" w:eastAsia="Verdana" w:hAnsi="Verdana" w:cs="Verdana"/>
          <w:sz w:val="24"/>
          <w:szCs w:val="24"/>
        </w:rPr>
      </w:pPr>
      <w:r>
        <w:rPr>
          <w:rFonts w:ascii="Verdana" w:eastAsia="Verdana" w:hAnsi="Verdana" w:cs="Verdana"/>
          <w:sz w:val="24"/>
          <w:szCs w:val="24"/>
        </w:rPr>
        <w:t>Please register with FIA using the following link and select “Coinbase”</w:t>
      </w:r>
    </w:p>
    <w:p w14:paraId="1BEFADE8" w14:textId="77777777" w:rsidR="00EF4149" w:rsidRDefault="00000000">
      <w:pPr>
        <w:jc w:val="both"/>
        <w:rPr>
          <w:rFonts w:ascii="Verdana" w:eastAsia="Verdana" w:hAnsi="Verdana" w:cs="Verdana"/>
          <w:sz w:val="24"/>
          <w:szCs w:val="24"/>
        </w:rPr>
      </w:pPr>
      <w:hyperlink r:id="rId8">
        <w:r>
          <w:rPr>
            <w:rFonts w:ascii="Verdana" w:eastAsia="Verdana" w:hAnsi="Verdana" w:cs="Verdana"/>
            <w:color w:val="1155CC"/>
            <w:sz w:val="24"/>
            <w:szCs w:val="24"/>
            <w:u w:val="single"/>
          </w:rPr>
          <w:t>https://portal.fia.org/meetings/individualregistration.aspx?ID=4765</w:t>
        </w:r>
      </w:hyperlink>
    </w:p>
    <w:p w14:paraId="54EF5B05" w14:textId="77777777" w:rsidR="00EF4149" w:rsidRDefault="00EF4149">
      <w:pPr>
        <w:jc w:val="both"/>
        <w:rPr>
          <w:rFonts w:ascii="Verdana" w:eastAsia="Verdana" w:hAnsi="Verdana" w:cs="Verdana"/>
          <w:b/>
          <w:sz w:val="24"/>
          <w:szCs w:val="24"/>
          <w:u w:val="single"/>
        </w:rPr>
      </w:pPr>
    </w:p>
    <w:p w14:paraId="7D83C26D" w14:textId="77777777" w:rsidR="00EF4149" w:rsidRDefault="00000000">
      <w:pPr>
        <w:jc w:val="both"/>
        <w:rPr>
          <w:rFonts w:ascii="Verdana" w:eastAsia="Verdana" w:hAnsi="Verdana" w:cs="Verdana"/>
          <w:b/>
          <w:sz w:val="26"/>
          <w:szCs w:val="26"/>
          <w:u w:val="single"/>
        </w:rPr>
      </w:pPr>
      <w:r>
        <w:rPr>
          <w:rFonts w:ascii="Verdana" w:eastAsia="Verdana" w:hAnsi="Verdana" w:cs="Verdana"/>
          <w:b/>
          <w:sz w:val="26"/>
          <w:szCs w:val="26"/>
          <w:u w:val="single"/>
        </w:rPr>
        <w:t>Pre-Testing (Sep 24th, 2022)</w:t>
      </w:r>
    </w:p>
    <w:p w14:paraId="42C6DA37" w14:textId="77777777" w:rsidR="00EF4149" w:rsidRDefault="00000000">
      <w:pPr>
        <w:jc w:val="both"/>
        <w:rPr>
          <w:rFonts w:ascii="Verdana" w:eastAsia="Verdana" w:hAnsi="Verdana" w:cs="Verdana"/>
          <w:sz w:val="24"/>
          <w:szCs w:val="24"/>
        </w:rPr>
      </w:pPr>
      <w:r>
        <w:rPr>
          <w:rFonts w:ascii="Verdana" w:eastAsia="Verdana" w:hAnsi="Verdana" w:cs="Verdana"/>
          <w:sz w:val="24"/>
          <w:szCs w:val="24"/>
        </w:rPr>
        <w:t xml:space="preserve">CDE will be offering pre-test (telnet testing) on its DR site on Saturday, September 24, </w:t>
      </w:r>
      <w:proofErr w:type="gramStart"/>
      <w:r>
        <w:rPr>
          <w:rFonts w:ascii="Verdana" w:eastAsia="Verdana" w:hAnsi="Verdana" w:cs="Verdana"/>
          <w:sz w:val="24"/>
          <w:szCs w:val="24"/>
        </w:rPr>
        <w:t>2022</w:t>
      </w:r>
      <w:proofErr w:type="gramEnd"/>
      <w:r>
        <w:rPr>
          <w:rFonts w:ascii="Verdana" w:eastAsia="Verdana" w:hAnsi="Verdana" w:cs="Verdana"/>
          <w:sz w:val="24"/>
          <w:szCs w:val="24"/>
        </w:rPr>
        <w:t xml:space="preserve"> between 9 am and 11 am ET. For this round of testing, CDE will only be offering telnet tests (not end to end connectivity). The CDE team will be available to support this activity.   </w:t>
      </w:r>
    </w:p>
    <w:p w14:paraId="61AE4B51" w14:textId="77777777" w:rsidR="00EF4149" w:rsidRDefault="00EF4149">
      <w:pPr>
        <w:jc w:val="both"/>
        <w:rPr>
          <w:rFonts w:ascii="Verdana" w:eastAsia="Verdana" w:hAnsi="Verdana" w:cs="Verdana"/>
          <w:b/>
          <w:sz w:val="24"/>
          <w:szCs w:val="24"/>
          <w:u w:val="single"/>
        </w:rPr>
      </w:pPr>
    </w:p>
    <w:p w14:paraId="768C4C5F" w14:textId="77777777" w:rsidR="00EF4149" w:rsidRDefault="00EF4149">
      <w:pPr>
        <w:jc w:val="both"/>
        <w:rPr>
          <w:rFonts w:ascii="Verdana" w:eastAsia="Verdana" w:hAnsi="Verdana" w:cs="Verdana"/>
          <w:b/>
          <w:sz w:val="24"/>
          <w:szCs w:val="24"/>
          <w:u w:val="single"/>
        </w:rPr>
      </w:pPr>
    </w:p>
    <w:p w14:paraId="7F5AD291" w14:textId="77777777" w:rsidR="00EF4149" w:rsidRDefault="00000000">
      <w:pPr>
        <w:jc w:val="both"/>
        <w:rPr>
          <w:rFonts w:ascii="Verdana" w:eastAsia="Verdana" w:hAnsi="Verdana" w:cs="Verdana"/>
          <w:b/>
          <w:sz w:val="26"/>
          <w:szCs w:val="26"/>
          <w:u w:val="single"/>
        </w:rPr>
      </w:pPr>
      <w:r>
        <w:rPr>
          <w:rFonts w:ascii="Verdana" w:eastAsia="Verdana" w:hAnsi="Verdana" w:cs="Verdana"/>
          <w:b/>
          <w:sz w:val="26"/>
          <w:szCs w:val="26"/>
          <w:u w:val="single"/>
        </w:rPr>
        <w:t>Testing (Oct 15th, 2022)</w:t>
      </w:r>
    </w:p>
    <w:p w14:paraId="5A4D00D5" w14:textId="3443695A" w:rsidR="00EF4149" w:rsidRDefault="00000000">
      <w:pPr>
        <w:jc w:val="both"/>
        <w:rPr>
          <w:rFonts w:ascii="Verdana" w:eastAsia="Verdana" w:hAnsi="Verdana" w:cs="Verdana"/>
          <w:sz w:val="24"/>
          <w:szCs w:val="24"/>
        </w:rPr>
      </w:pPr>
      <w:r>
        <w:rPr>
          <w:rFonts w:ascii="Verdana" w:eastAsia="Verdana" w:hAnsi="Verdana" w:cs="Verdana"/>
          <w:sz w:val="24"/>
          <w:szCs w:val="24"/>
        </w:rPr>
        <w:t xml:space="preserve">For the test date, CDE will be providing connectivity access to its DR data center. This test will cover logon, heartbeats, test requests and logouts for the services listed below. Note that order entry, market data subscriptions, trade matching and drop copy </w:t>
      </w:r>
      <w:r w:rsidR="00411A05">
        <w:rPr>
          <w:rFonts w:ascii="Verdana" w:eastAsia="Verdana" w:hAnsi="Verdana" w:cs="Verdana"/>
          <w:sz w:val="24"/>
          <w:szCs w:val="24"/>
        </w:rPr>
        <w:t>application-level</w:t>
      </w:r>
      <w:r>
        <w:rPr>
          <w:rFonts w:ascii="Verdana" w:eastAsia="Verdana" w:hAnsi="Verdana" w:cs="Verdana"/>
          <w:sz w:val="24"/>
          <w:szCs w:val="24"/>
        </w:rPr>
        <w:t xml:space="preserve"> messages will be out of scope for this testing.</w:t>
      </w:r>
    </w:p>
    <w:p w14:paraId="5725C478" w14:textId="77777777" w:rsidR="00EF4149" w:rsidRDefault="00EF4149">
      <w:pPr>
        <w:jc w:val="both"/>
        <w:rPr>
          <w:rFonts w:ascii="Verdana" w:eastAsia="Verdana" w:hAnsi="Verdana" w:cs="Verdana"/>
          <w:sz w:val="24"/>
          <w:szCs w:val="24"/>
          <w:u w:val="single"/>
        </w:rPr>
      </w:pPr>
    </w:p>
    <w:p w14:paraId="5EEF084F" w14:textId="77777777" w:rsidR="00EF4149" w:rsidRDefault="00EF4149">
      <w:pPr>
        <w:jc w:val="both"/>
        <w:rPr>
          <w:rFonts w:ascii="Verdana" w:eastAsia="Verdana" w:hAnsi="Verdana" w:cs="Verdana"/>
          <w:sz w:val="24"/>
          <w:szCs w:val="24"/>
          <w:u w:val="single"/>
        </w:rPr>
      </w:pPr>
    </w:p>
    <w:p w14:paraId="131E9AF0" w14:textId="77777777" w:rsidR="00EF4149" w:rsidRDefault="00000000">
      <w:pPr>
        <w:jc w:val="both"/>
        <w:rPr>
          <w:rFonts w:ascii="Verdana" w:eastAsia="Verdana" w:hAnsi="Verdana" w:cs="Verdana"/>
          <w:b/>
          <w:sz w:val="26"/>
          <w:szCs w:val="26"/>
          <w:u w:val="single"/>
        </w:rPr>
      </w:pPr>
      <w:r>
        <w:rPr>
          <w:rFonts w:ascii="Verdana" w:eastAsia="Verdana" w:hAnsi="Verdana" w:cs="Verdana"/>
          <w:b/>
          <w:sz w:val="26"/>
          <w:szCs w:val="26"/>
          <w:u w:val="single"/>
        </w:rPr>
        <w:t>Available Services (for connectivity testing)</w:t>
      </w:r>
    </w:p>
    <w:p w14:paraId="182AB3AB" w14:textId="77777777" w:rsidR="00EF4149" w:rsidRDefault="00000000">
      <w:pPr>
        <w:numPr>
          <w:ilvl w:val="0"/>
          <w:numId w:val="1"/>
        </w:numPr>
        <w:jc w:val="both"/>
        <w:rPr>
          <w:rFonts w:ascii="Verdana" w:eastAsia="Verdana" w:hAnsi="Verdana" w:cs="Verdana"/>
          <w:sz w:val="24"/>
          <w:szCs w:val="24"/>
        </w:rPr>
      </w:pPr>
      <w:r>
        <w:rPr>
          <w:rFonts w:ascii="Verdana" w:eastAsia="Verdana" w:hAnsi="Verdana" w:cs="Verdana"/>
          <w:sz w:val="24"/>
          <w:szCs w:val="24"/>
        </w:rPr>
        <w:t>FIX Order &amp; Market Data Sessions</w:t>
      </w:r>
    </w:p>
    <w:p w14:paraId="393B6FBA" w14:textId="77777777" w:rsidR="00EF4149" w:rsidRDefault="00000000">
      <w:pPr>
        <w:numPr>
          <w:ilvl w:val="0"/>
          <w:numId w:val="1"/>
        </w:numPr>
        <w:jc w:val="both"/>
        <w:rPr>
          <w:rFonts w:ascii="Verdana" w:eastAsia="Verdana" w:hAnsi="Verdana" w:cs="Verdana"/>
          <w:sz w:val="24"/>
          <w:szCs w:val="24"/>
        </w:rPr>
      </w:pPr>
      <w:r>
        <w:rPr>
          <w:rFonts w:ascii="Verdana" w:eastAsia="Verdana" w:hAnsi="Verdana" w:cs="Verdana"/>
          <w:sz w:val="24"/>
          <w:szCs w:val="24"/>
        </w:rPr>
        <w:t>Binary Order &amp; Market Data</w:t>
      </w:r>
    </w:p>
    <w:p w14:paraId="383A0CC9" w14:textId="77777777" w:rsidR="00EF4149" w:rsidRDefault="00000000">
      <w:pPr>
        <w:numPr>
          <w:ilvl w:val="0"/>
          <w:numId w:val="1"/>
        </w:numPr>
        <w:jc w:val="both"/>
        <w:rPr>
          <w:rFonts w:ascii="Verdana" w:eastAsia="Verdana" w:hAnsi="Verdana" w:cs="Verdana"/>
          <w:sz w:val="24"/>
          <w:szCs w:val="24"/>
        </w:rPr>
      </w:pPr>
      <w:r>
        <w:rPr>
          <w:rFonts w:ascii="Verdana" w:eastAsia="Verdana" w:hAnsi="Verdana" w:cs="Verdana"/>
          <w:sz w:val="24"/>
          <w:szCs w:val="24"/>
        </w:rPr>
        <w:t>FIX Drop Copy sessions</w:t>
      </w:r>
    </w:p>
    <w:p w14:paraId="2609492C" w14:textId="77777777" w:rsidR="00EF4149" w:rsidRDefault="00000000">
      <w:pPr>
        <w:numPr>
          <w:ilvl w:val="0"/>
          <w:numId w:val="1"/>
        </w:numPr>
        <w:jc w:val="both"/>
        <w:rPr>
          <w:rFonts w:ascii="Verdana" w:eastAsia="Verdana" w:hAnsi="Verdana" w:cs="Verdana"/>
          <w:sz w:val="24"/>
          <w:szCs w:val="24"/>
        </w:rPr>
      </w:pPr>
      <w:r>
        <w:rPr>
          <w:rFonts w:ascii="Verdana" w:eastAsia="Verdana" w:hAnsi="Verdana" w:cs="Verdana"/>
          <w:sz w:val="24"/>
          <w:szCs w:val="24"/>
        </w:rPr>
        <w:t>DR Exchange Admin Portal</w:t>
      </w:r>
    </w:p>
    <w:p w14:paraId="4D48E1C5" w14:textId="77777777" w:rsidR="00EF4149" w:rsidRDefault="00EF4149">
      <w:pPr>
        <w:jc w:val="both"/>
        <w:rPr>
          <w:rFonts w:ascii="Verdana" w:eastAsia="Verdana" w:hAnsi="Verdana" w:cs="Verdana"/>
          <w:b/>
          <w:sz w:val="24"/>
          <w:szCs w:val="24"/>
          <w:u w:val="single"/>
        </w:rPr>
      </w:pPr>
    </w:p>
    <w:p w14:paraId="000A12AB" w14:textId="77777777" w:rsidR="00EF4149" w:rsidRDefault="00EF4149">
      <w:pPr>
        <w:jc w:val="both"/>
        <w:rPr>
          <w:rFonts w:ascii="Verdana" w:eastAsia="Verdana" w:hAnsi="Verdana" w:cs="Verdana"/>
          <w:b/>
          <w:sz w:val="24"/>
          <w:szCs w:val="24"/>
          <w:u w:val="single"/>
        </w:rPr>
      </w:pPr>
    </w:p>
    <w:p w14:paraId="1D7AE445" w14:textId="77777777" w:rsidR="00EF4149" w:rsidRDefault="00EF4149">
      <w:pPr>
        <w:jc w:val="both"/>
        <w:rPr>
          <w:rFonts w:ascii="Verdana" w:eastAsia="Verdana" w:hAnsi="Verdana" w:cs="Verdana"/>
          <w:b/>
          <w:sz w:val="24"/>
          <w:szCs w:val="24"/>
          <w:u w:val="single"/>
        </w:rPr>
      </w:pPr>
    </w:p>
    <w:p w14:paraId="0E93DCC0" w14:textId="77777777" w:rsidR="00EF4149" w:rsidRDefault="00EF4149">
      <w:pPr>
        <w:jc w:val="both"/>
        <w:rPr>
          <w:rFonts w:ascii="Verdana" w:eastAsia="Verdana" w:hAnsi="Verdana" w:cs="Verdana"/>
          <w:b/>
          <w:sz w:val="24"/>
          <w:szCs w:val="24"/>
          <w:u w:val="single"/>
        </w:rPr>
      </w:pPr>
    </w:p>
    <w:p w14:paraId="59885CE8" w14:textId="77777777" w:rsidR="00EF4149" w:rsidRDefault="00000000">
      <w:pPr>
        <w:jc w:val="both"/>
        <w:rPr>
          <w:rFonts w:ascii="Verdana" w:eastAsia="Verdana" w:hAnsi="Verdana" w:cs="Verdana"/>
          <w:b/>
          <w:sz w:val="26"/>
          <w:szCs w:val="26"/>
          <w:u w:val="single"/>
        </w:rPr>
      </w:pPr>
      <w:r>
        <w:rPr>
          <w:rFonts w:ascii="Verdana" w:eastAsia="Verdana" w:hAnsi="Verdana" w:cs="Verdana"/>
          <w:b/>
          <w:sz w:val="26"/>
          <w:szCs w:val="26"/>
          <w:u w:val="single"/>
        </w:rPr>
        <w:t>Credentials &amp; Connectivity Details</w:t>
      </w:r>
    </w:p>
    <w:p w14:paraId="5F612219" w14:textId="77777777" w:rsidR="00EF4149" w:rsidRDefault="00000000">
      <w:pPr>
        <w:rPr>
          <w:rFonts w:ascii="Verdana" w:eastAsia="Verdana" w:hAnsi="Verdana" w:cs="Verdana"/>
          <w:sz w:val="24"/>
          <w:szCs w:val="24"/>
        </w:rPr>
      </w:pPr>
      <w:r>
        <w:rPr>
          <w:rFonts w:ascii="Verdana" w:eastAsia="Verdana" w:hAnsi="Verdana" w:cs="Verdana"/>
          <w:sz w:val="24"/>
          <w:szCs w:val="24"/>
        </w:rPr>
        <w:t xml:space="preserve">Customers can use their production credentials to connect to these services. Please contact Coinbase Derivatives Exchange to get details of DR connectivity IPs/ports/links </w:t>
      </w:r>
      <w:proofErr w:type="spellStart"/>
      <w:r>
        <w:rPr>
          <w:rFonts w:ascii="Verdana" w:eastAsia="Verdana" w:hAnsi="Verdana" w:cs="Verdana"/>
          <w:sz w:val="24"/>
          <w:szCs w:val="24"/>
        </w:rPr>
        <w:t>etc</w:t>
      </w:r>
      <w:proofErr w:type="spellEnd"/>
      <w:r>
        <w:rPr>
          <w:rFonts w:ascii="Verdana" w:eastAsia="Verdana" w:hAnsi="Verdana" w:cs="Verdana"/>
          <w:sz w:val="24"/>
          <w:szCs w:val="24"/>
        </w:rPr>
        <w:t xml:space="preserve">, </w:t>
      </w:r>
      <w:r>
        <w:rPr>
          <w:rFonts w:ascii="Verdana" w:eastAsia="Verdana" w:hAnsi="Verdana" w:cs="Verdana"/>
          <w:b/>
          <w:sz w:val="24"/>
          <w:szCs w:val="24"/>
        </w:rPr>
        <w:t>at least 10 days</w:t>
      </w:r>
      <w:r>
        <w:rPr>
          <w:rFonts w:ascii="Verdana" w:eastAsia="Verdana" w:hAnsi="Verdana" w:cs="Verdana"/>
          <w:sz w:val="24"/>
          <w:szCs w:val="24"/>
        </w:rPr>
        <w:t xml:space="preserve"> prior to the test date.</w:t>
      </w:r>
    </w:p>
    <w:p w14:paraId="2C65EF8D" w14:textId="77777777" w:rsidR="00EF4149" w:rsidRDefault="00EF4149">
      <w:pPr>
        <w:jc w:val="both"/>
        <w:rPr>
          <w:rFonts w:ascii="Verdana" w:eastAsia="Verdana" w:hAnsi="Verdana" w:cs="Verdana"/>
          <w:b/>
          <w:sz w:val="24"/>
          <w:szCs w:val="24"/>
        </w:rPr>
      </w:pPr>
    </w:p>
    <w:p w14:paraId="5DA3BF39" w14:textId="77777777" w:rsidR="00EF4149" w:rsidRDefault="00000000">
      <w:pPr>
        <w:jc w:val="both"/>
        <w:rPr>
          <w:rFonts w:ascii="Verdana" w:eastAsia="Verdana" w:hAnsi="Verdana" w:cs="Verdana"/>
          <w:b/>
          <w:sz w:val="26"/>
          <w:szCs w:val="26"/>
          <w:u w:val="single"/>
        </w:rPr>
      </w:pPr>
      <w:r>
        <w:rPr>
          <w:rFonts w:ascii="Verdana" w:eastAsia="Verdana" w:hAnsi="Verdana" w:cs="Verdana"/>
          <w:b/>
          <w:sz w:val="26"/>
          <w:szCs w:val="26"/>
          <w:u w:val="single"/>
        </w:rPr>
        <w:t>Test Schedule (Oct 15th, 2022)</w:t>
      </w:r>
    </w:p>
    <w:p w14:paraId="6DEBE717" w14:textId="77777777" w:rsidR="00EF4149" w:rsidRDefault="00EF4149">
      <w:pPr>
        <w:jc w:val="both"/>
        <w:rPr>
          <w:rFonts w:ascii="Verdana" w:eastAsia="Verdana" w:hAnsi="Verdana" w:cs="Verdana"/>
          <w:b/>
          <w:sz w:val="24"/>
          <w:szCs w:val="24"/>
          <w:u w:val="single"/>
        </w:rPr>
      </w:pPr>
    </w:p>
    <w:p w14:paraId="0E0D4117" w14:textId="77777777" w:rsidR="00EF4149" w:rsidRDefault="00000000">
      <w:pPr>
        <w:jc w:val="both"/>
        <w:rPr>
          <w:rFonts w:ascii="Verdana" w:eastAsia="Verdana" w:hAnsi="Verdana" w:cs="Verdana"/>
          <w:sz w:val="24"/>
          <w:szCs w:val="24"/>
        </w:rPr>
      </w:pPr>
      <w:r>
        <w:rPr>
          <w:rFonts w:ascii="Verdana" w:eastAsia="Verdana" w:hAnsi="Verdana" w:cs="Verdana"/>
          <w:sz w:val="24"/>
          <w:szCs w:val="24"/>
        </w:rPr>
        <w:t xml:space="preserve">9:00 AM ET: Connectivity is available for DR </w:t>
      </w:r>
    </w:p>
    <w:p w14:paraId="2D86B9D7" w14:textId="77777777" w:rsidR="00EF4149" w:rsidRDefault="00000000">
      <w:pPr>
        <w:jc w:val="both"/>
        <w:rPr>
          <w:rFonts w:ascii="Verdana" w:eastAsia="Verdana" w:hAnsi="Verdana" w:cs="Verdana"/>
          <w:sz w:val="24"/>
          <w:szCs w:val="24"/>
        </w:rPr>
      </w:pPr>
      <w:r>
        <w:rPr>
          <w:rFonts w:ascii="Verdana" w:eastAsia="Verdana" w:hAnsi="Verdana" w:cs="Verdana"/>
          <w:sz w:val="24"/>
          <w:szCs w:val="24"/>
        </w:rPr>
        <w:t xml:space="preserve">12:00 PM ET: DR Exercise will conclude </w:t>
      </w:r>
    </w:p>
    <w:p w14:paraId="24944692" w14:textId="77777777" w:rsidR="00EF4149" w:rsidRDefault="00EF4149">
      <w:pPr>
        <w:jc w:val="both"/>
        <w:rPr>
          <w:rFonts w:ascii="Verdana" w:eastAsia="Verdana" w:hAnsi="Verdana" w:cs="Verdana"/>
          <w:b/>
          <w:sz w:val="24"/>
          <w:szCs w:val="24"/>
        </w:rPr>
      </w:pPr>
    </w:p>
    <w:p w14:paraId="6764243B" w14:textId="77777777" w:rsidR="00EF4149" w:rsidRDefault="00000000">
      <w:pPr>
        <w:jc w:val="both"/>
        <w:rPr>
          <w:rFonts w:ascii="Verdana" w:eastAsia="Verdana" w:hAnsi="Verdana" w:cs="Verdana"/>
          <w:b/>
          <w:sz w:val="26"/>
          <w:szCs w:val="26"/>
          <w:u w:val="single"/>
        </w:rPr>
      </w:pPr>
      <w:r>
        <w:rPr>
          <w:rFonts w:ascii="Verdana" w:eastAsia="Verdana" w:hAnsi="Verdana" w:cs="Verdana"/>
          <w:b/>
          <w:sz w:val="26"/>
          <w:szCs w:val="26"/>
          <w:u w:val="single"/>
        </w:rPr>
        <w:t>Contact Details</w:t>
      </w:r>
    </w:p>
    <w:p w14:paraId="07CED96F" w14:textId="77777777" w:rsidR="00EF4149" w:rsidRDefault="00EF4149">
      <w:pPr>
        <w:jc w:val="both"/>
        <w:rPr>
          <w:rFonts w:ascii="Verdana" w:eastAsia="Verdana" w:hAnsi="Verdana" w:cs="Verdana"/>
          <w:b/>
          <w:sz w:val="24"/>
          <w:szCs w:val="24"/>
        </w:rPr>
      </w:pPr>
    </w:p>
    <w:p w14:paraId="25781D51" w14:textId="77777777" w:rsidR="00EF4149" w:rsidRDefault="00000000">
      <w:pPr>
        <w:jc w:val="both"/>
        <w:rPr>
          <w:rFonts w:ascii="Verdana" w:eastAsia="Verdana" w:hAnsi="Verdana" w:cs="Verdana"/>
          <w:i/>
          <w:sz w:val="24"/>
          <w:szCs w:val="24"/>
        </w:rPr>
      </w:pPr>
      <w:r>
        <w:rPr>
          <w:rFonts w:ascii="Verdana" w:eastAsia="Verdana" w:hAnsi="Verdana" w:cs="Verdana"/>
          <w:i/>
          <w:sz w:val="24"/>
          <w:szCs w:val="24"/>
        </w:rPr>
        <w:t>Derivatives Command Center</w:t>
      </w:r>
    </w:p>
    <w:p w14:paraId="0C09636D" w14:textId="77777777" w:rsidR="00EF4149" w:rsidRDefault="00000000">
      <w:pPr>
        <w:jc w:val="both"/>
        <w:rPr>
          <w:rFonts w:ascii="Verdana" w:eastAsia="Verdana" w:hAnsi="Verdana" w:cs="Verdana"/>
          <w:sz w:val="24"/>
          <w:szCs w:val="24"/>
        </w:rPr>
      </w:pPr>
      <w:hyperlink r:id="rId9">
        <w:r>
          <w:rPr>
            <w:rFonts w:ascii="Verdana" w:eastAsia="Verdana" w:hAnsi="Verdana" w:cs="Verdana"/>
            <w:color w:val="1155CC"/>
            <w:sz w:val="24"/>
            <w:szCs w:val="24"/>
            <w:u w:val="single"/>
          </w:rPr>
          <w:t>derivatives@coinbase.com</w:t>
        </w:r>
      </w:hyperlink>
    </w:p>
    <w:p w14:paraId="5F380C83" w14:textId="77777777" w:rsidR="00EF4149" w:rsidRDefault="00000000">
      <w:pPr>
        <w:jc w:val="both"/>
        <w:rPr>
          <w:rFonts w:ascii="Verdana" w:eastAsia="Verdana" w:hAnsi="Verdana" w:cs="Verdana"/>
          <w:sz w:val="24"/>
          <w:szCs w:val="24"/>
        </w:rPr>
      </w:pPr>
      <w:r>
        <w:rPr>
          <w:rFonts w:ascii="Verdana" w:eastAsia="Verdana" w:hAnsi="Verdana" w:cs="Verdana"/>
          <w:sz w:val="24"/>
          <w:szCs w:val="24"/>
          <w:highlight w:val="white"/>
        </w:rPr>
        <w:t>+1 (312) 469-0985</w:t>
      </w:r>
    </w:p>
    <w:p w14:paraId="0444D51C" w14:textId="77777777" w:rsidR="00EF4149" w:rsidRDefault="00EF4149">
      <w:pPr>
        <w:jc w:val="both"/>
        <w:rPr>
          <w:rFonts w:ascii="Verdana" w:eastAsia="Verdana" w:hAnsi="Verdana" w:cs="Verdana"/>
          <w:sz w:val="24"/>
          <w:szCs w:val="24"/>
        </w:rPr>
      </w:pPr>
    </w:p>
    <w:p w14:paraId="5FB04CA4" w14:textId="77777777" w:rsidR="00EF4149" w:rsidRDefault="00EF4149">
      <w:pPr>
        <w:jc w:val="both"/>
        <w:rPr>
          <w:rFonts w:ascii="Verdana" w:eastAsia="Verdana" w:hAnsi="Verdana" w:cs="Verdana"/>
          <w:b/>
          <w:sz w:val="24"/>
          <w:szCs w:val="24"/>
        </w:rPr>
      </w:pPr>
    </w:p>
    <w:p w14:paraId="097915A2" w14:textId="77777777" w:rsidR="00EF4149" w:rsidRDefault="00EF4149">
      <w:pPr>
        <w:jc w:val="both"/>
        <w:rPr>
          <w:rFonts w:ascii="Verdana" w:eastAsia="Verdana" w:hAnsi="Verdana" w:cs="Verdana"/>
          <w:b/>
          <w:sz w:val="24"/>
          <w:szCs w:val="24"/>
        </w:rPr>
      </w:pPr>
    </w:p>
    <w:sectPr w:rsidR="00EF414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3411" w14:textId="77777777" w:rsidR="003E4A4C" w:rsidRDefault="003E4A4C">
      <w:pPr>
        <w:spacing w:line="240" w:lineRule="auto"/>
      </w:pPr>
      <w:r>
        <w:separator/>
      </w:r>
    </w:p>
  </w:endnote>
  <w:endnote w:type="continuationSeparator" w:id="0">
    <w:p w14:paraId="1E825EC6" w14:textId="77777777" w:rsidR="003E4A4C" w:rsidRDefault="003E4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649B" w14:textId="77777777" w:rsidR="00EF4149" w:rsidRDefault="00EF414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8FEF" w14:textId="77777777" w:rsidR="003E4A4C" w:rsidRDefault="003E4A4C">
      <w:pPr>
        <w:spacing w:line="240" w:lineRule="auto"/>
      </w:pPr>
      <w:r>
        <w:separator/>
      </w:r>
    </w:p>
  </w:footnote>
  <w:footnote w:type="continuationSeparator" w:id="0">
    <w:p w14:paraId="618B2F03" w14:textId="77777777" w:rsidR="003E4A4C" w:rsidRDefault="003E4A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C1B1" w14:textId="77777777" w:rsidR="00EF4149" w:rsidRDefault="00000000">
    <w:pPr>
      <w:tabs>
        <w:tab w:val="center" w:pos="4680"/>
        <w:tab w:val="right" w:pos="10080"/>
      </w:tabs>
      <w:spacing w:line="240" w:lineRule="auto"/>
      <w:rPr>
        <w:sz w:val="58"/>
        <w:szCs w:val="58"/>
      </w:rPr>
    </w:pPr>
    <w:r>
      <w:rPr>
        <w:rFonts w:ascii="Calibri" w:eastAsia="Calibri" w:hAnsi="Calibri" w:cs="Calibri"/>
        <w:noProof/>
      </w:rPr>
      <w:drawing>
        <wp:inline distT="114300" distB="114300" distL="114300" distR="114300" wp14:anchorId="03479AD2" wp14:editId="6D0B1333">
          <wp:extent cx="3641141" cy="30175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41141" cy="30175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F75"/>
    <w:multiLevelType w:val="multilevel"/>
    <w:tmpl w:val="99827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957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49"/>
    <w:rsid w:val="003E4A4C"/>
    <w:rsid w:val="00411A05"/>
    <w:rsid w:val="00E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C642E"/>
  <w15:docId w15:val="{CA226FDA-B125-6743-B252-97D4EBB8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fia.org/meetings/individualregistration.aspx?ID=47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rivatives@coinba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YlA4QxrBoHPMsDdi6u8Rzhgvg==">AMUW2mWY8ejvrWyoQM7wnvuqAGYlPQPMJ83dPE5dqNyEF+/3LUComJlIjaXCcDh3QAsHiSloUpBiejEluhAOhtmwWLXhh4dGC+NdQpQOMaQFsCL2UCBoKHk=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Gallagher</cp:lastModifiedBy>
  <cp:revision>2</cp:revision>
  <dcterms:created xsi:type="dcterms:W3CDTF">2022-08-18T23:13:00Z</dcterms:created>
  <dcterms:modified xsi:type="dcterms:W3CDTF">2022-08-18T23:14:00Z</dcterms:modified>
</cp:coreProperties>
</file>