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F10D35" w14:paraId="3A1CEF39" w14:textId="77777777" w:rsidTr="00315E96">
        <w:trPr>
          <w:trHeight w:val="284"/>
        </w:trPr>
        <w:tc>
          <w:tcPr>
            <w:tcW w:w="9412" w:type="dxa"/>
          </w:tcPr>
          <w:p w14:paraId="4CE64CCB" w14:textId="1B4B0D46" w:rsidR="00C2094B" w:rsidRPr="00F10D35" w:rsidRDefault="008F0FA7" w:rsidP="00AF38AF">
            <w:pPr>
              <w:pStyle w:val="00bDBInfo"/>
              <w:rPr>
                <w:rFonts w:cs="Arial"/>
              </w:rPr>
            </w:pPr>
            <w:r>
              <w:rPr>
                <w:rFonts w:cs="Arial"/>
              </w:rPr>
              <w:t>30</w:t>
            </w:r>
            <w:r w:rsidR="00FE40D3" w:rsidRPr="00FE40D3">
              <w:rPr>
                <w:rFonts w:cs="Arial"/>
              </w:rPr>
              <w:t xml:space="preserve"> </w:t>
            </w:r>
            <w:r w:rsidR="00873B7E">
              <w:rPr>
                <w:rFonts w:cs="Arial"/>
              </w:rPr>
              <w:t>September</w:t>
            </w:r>
            <w:r w:rsidR="002C27F9" w:rsidRPr="00FE40D3">
              <w:rPr>
                <w:rFonts w:cs="Arial"/>
              </w:rPr>
              <w:t xml:space="preserve"> 202</w:t>
            </w:r>
            <w:r w:rsidR="00F87631">
              <w:rPr>
                <w:rFonts w:cs="Arial"/>
              </w:rPr>
              <w:t>1</w:t>
            </w:r>
          </w:p>
        </w:tc>
      </w:tr>
    </w:tbl>
    <w:p w14:paraId="031231A1" w14:textId="68FE125F" w:rsidR="00FD7A8D" w:rsidRPr="00616B9B" w:rsidRDefault="00FD7A8D" w:rsidP="00FD7A8D">
      <w:pPr>
        <w:rPr>
          <w:rFonts w:cs="Arial"/>
          <w:vanish/>
        </w:rPr>
      </w:pPr>
    </w:p>
    <w:tbl>
      <w:tblPr>
        <w:tblpPr w:leftFromText="8505" w:vertAnchor="page" w:horzAnchor="margin" w:tblpY="3556"/>
        <w:tblW w:w="9646" w:type="dxa"/>
        <w:tblLayout w:type="fixed"/>
        <w:tblCellMar>
          <w:left w:w="0" w:type="dxa"/>
          <w:right w:w="0" w:type="dxa"/>
        </w:tblCellMar>
        <w:tblLook w:val="01E0" w:firstRow="1" w:lastRow="1" w:firstColumn="1" w:lastColumn="1" w:noHBand="0" w:noVBand="0"/>
      </w:tblPr>
      <w:tblGrid>
        <w:gridCol w:w="9646"/>
      </w:tblGrid>
      <w:tr w:rsidR="00146A6C" w:rsidRPr="00616B9B" w14:paraId="117904A3" w14:textId="77777777" w:rsidTr="00146A6C">
        <w:trPr>
          <w:trHeight w:hRule="exact" w:val="2137"/>
        </w:trPr>
        <w:tc>
          <w:tcPr>
            <w:tcW w:w="9646" w:type="dxa"/>
            <w:vAlign w:val="bottom"/>
          </w:tcPr>
          <w:p w14:paraId="16F35E65" w14:textId="0F39FF35" w:rsidR="00146A6C" w:rsidRPr="00146A6C" w:rsidRDefault="00146A6C" w:rsidP="00D92BBE">
            <w:pPr>
              <w:pStyle w:val="01aDBTitle"/>
              <w:jc w:val="left"/>
              <w:rPr>
                <w:rFonts w:cs="Arial"/>
                <w:sz w:val="32"/>
                <w:szCs w:val="32"/>
              </w:rPr>
            </w:pPr>
            <w:r w:rsidRPr="00201005">
              <w:rPr>
                <w:rFonts w:cs="Arial"/>
                <w:szCs w:val="40"/>
              </w:rPr>
              <w:t>Response form for the Consultation Paper on</w:t>
            </w:r>
            <w:r w:rsidRPr="00201005">
              <w:rPr>
                <w:szCs w:val="40"/>
              </w:rPr>
              <w:t xml:space="preserve"> </w:t>
            </w:r>
            <w:r w:rsidR="00D92BBE" w:rsidRPr="00D92BBE">
              <w:rPr>
                <w:szCs w:val="40"/>
              </w:rPr>
              <w:t>Review of the MiFID II framework on best execution reports</w:t>
            </w:r>
          </w:p>
        </w:tc>
      </w:tr>
      <w:tr w:rsidR="00146A6C" w:rsidRPr="00616B9B" w14:paraId="28EA853F" w14:textId="77777777" w:rsidTr="00146A6C">
        <w:trPr>
          <w:trHeight w:hRule="exact" w:val="1237"/>
        </w:trPr>
        <w:tc>
          <w:tcPr>
            <w:tcW w:w="9646" w:type="dxa"/>
            <w:tcMar>
              <w:top w:w="142" w:type="dxa"/>
            </w:tcMar>
          </w:tcPr>
          <w:p w14:paraId="6AB3A0AD" w14:textId="77777777" w:rsidR="00146A6C" w:rsidRDefault="00146A6C" w:rsidP="00146A6C">
            <w:pPr>
              <w:pStyle w:val="01bDBSubtitle"/>
              <w:rPr>
                <w:rFonts w:ascii="Arial" w:hAnsi="Arial" w:cs="Arial"/>
                <w:sz w:val="32"/>
              </w:rPr>
            </w:pPr>
            <w:r w:rsidRPr="009A053D">
              <w:rPr>
                <w:rFonts w:ascii="Arial" w:hAnsi="Arial" w:cs="Arial"/>
                <w:sz w:val="32"/>
              </w:rPr>
              <w:t xml:space="preserve"> </w:t>
            </w:r>
          </w:p>
          <w:p w14:paraId="08280749" w14:textId="77777777" w:rsidR="00146A6C" w:rsidRDefault="00146A6C" w:rsidP="00146A6C"/>
          <w:p w14:paraId="02AC275B" w14:textId="77777777" w:rsidR="00146A6C" w:rsidRDefault="00146A6C" w:rsidP="00146A6C">
            <w:pPr>
              <w:jc w:val="center"/>
            </w:pPr>
          </w:p>
          <w:p w14:paraId="216E8B81" w14:textId="77777777" w:rsidR="00146A6C" w:rsidRPr="002C27F9" w:rsidRDefault="00146A6C" w:rsidP="00146A6C">
            <w:pPr>
              <w:jc w:val="right"/>
            </w:pPr>
          </w:p>
        </w:tc>
      </w:tr>
    </w:tbl>
    <w:p w14:paraId="156768A1" w14:textId="77777777" w:rsidR="00620D7C" w:rsidRPr="00616B9B" w:rsidRDefault="00620D7C" w:rsidP="00C00012">
      <w:pPr>
        <w:pStyle w:val="05HeadlinenoIndex"/>
        <w:rPr>
          <w:rFonts w:cs="Arial"/>
        </w:rPr>
        <w:sectPr w:rsidR="00620D7C" w:rsidRPr="00616B9B" w:rsidSect="006E3C72">
          <w:headerReference w:type="default" r:id="rId12"/>
          <w:footerReference w:type="default" r:id="rId13"/>
          <w:headerReference w:type="first" r:id="rId14"/>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2EF98C17" w14:textId="77777777" w:rsidTr="00315E96">
        <w:trPr>
          <w:trHeight w:hRule="exact" w:val="964"/>
        </w:trPr>
        <w:tc>
          <w:tcPr>
            <w:tcW w:w="2325" w:type="dxa"/>
          </w:tcPr>
          <w:p w14:paraId="3B25AA0D" w14:textId="5400BDD5" w:rsidR="00620D7C" w:rsidRPr="004E49B0" w:rsidRDefault="00620D7C" w:rsidP="00FE40D3">
            <w:pPr>
              <w:pStyle w:val="02Date"/>
              <w:jc w:val="right"/>
              <w:rPr>
                <w:rFonts w:cs="Arial"/>
              </w:rPr>
            </w:pPr>
            <w:r w:rsidRPr="00F10D35">
              <w:rPr>
                <w:rFonts w:cs="Arial"/>
              </w:rPr>
              <w:lastRenderedPageBreak/>
              <w:t xml:space="preserve">Date: </w:t>
            </w:r>
            <w:r w:rsidR="008F0FA7">
              <w:rPr>
                <w:rFonts w:cs="Arial"/>
              </w:rPr>
              <w:t>30</w:t>
            </w:r>
            <w:r w:rsidR="00FE40D3" w:rsidRPr="00FE40D3">
              <w:rPr>
                <w:rFonts w:cs="Arial"/>
              </w:rPr>
              <w:t xml:space="preserve"> </w:t>
            </w:r>
            <w:r w:rsidR="00873B7E">
              <w:rPr>
                <w:rFonts w:cs="Arial"/>
              </w:rPr>
              <w:t>September</w:t>
            </w:r>
            <w:r w:rsidR="00F87631">
              <w:rPr>
                <w:rFonts w:cs="Arial"/>
              </w:rPr>
              <w:t xml:space="preserve"> </w:t>
            </w:r>
            <w:r w:rsidR="005738DE" w:rsidRPr="00FE40D3">
              <w:rPr>
                <w:rFonts w:cs="Arial"/>
              </w:rPr>
              <w:t>20</w:t>
            </w:r>
            <w:r w:rsidR="002C27F9" w:rsidRPr="00FE40D3">
              <w:rPr>
                <w:rFonts w:cs="Arial"/>
              </w:rPr>
              <w:t>2</w:t>
            </w:r>
            <w:r w:rsidR="00F87631">
              <w:rPr>
                <w:rFonts w:cs="Arial"/>
              </w:rPr>
              <w:t>1</w:t>
            </w:r>
          </w:p>
        </w:tc>
      </w:tr>
    </w:tbl>
    <w:p w14:paraId="3B583CC6" w14:textId="72105B2D" w:rsidR="00FE40D3" w:rsidRPr="00FE40D3" w:rsidRDefault="00FE40D3" w:rsidP="00FE40D3">
      <w:pPr>
        <w:numPr>
          <w:ilvl w:val="1"/>
          <w:numId w:val="0"/>
        </w:numPr>
        <w:spacing w:after="240"/>
        <w:jc w:val="both"/>
        <w:rPr>
          <w:b/>
          <w:sz w:val="28"/>
          <w:highlight w:val="yellow"/>
          <w:lang w:eastAsia="en-US"/>
        </w:rPr>
      </w:pPr>
      <w:r w:rsidRPr="00FE40D3">
        <w:rPr>
          <w:b/>
          <w:sz w:val="28"/>
          <w:lang w:eastAsia="en-US"/>
        </w:rPr>
        <w:t>Responding to this paper</w:t>
      </w:r>
    </w:p>
    <w:p w14:paraId="432053DE" w14:textId="77777777" w:rsidR="00FE40D3" w:rsidRPr="00FE40D3" w:rsidRDefault="00FE40D3" w:rsidP="00FE40D3">
      <w:pPr>
        <w:spacing w:after="240" w:line="276" w:lineRule="auto"/>
        <w:jc w:val="both"/>
        <w:rPr>
          <w:sz w:val="22"/>
          <w:szCs w:val="20"/>
          <w:lang w:eastAsia="en-US"/>
        </w:rPr>
      </w:pPr>
      <w:r w:rsidRPr="00FE40D3">
        <w:rPr>
          <w:sz w:val="22"/>
          <w:szCs w:val="20"/>
          <w:lang w:eastAsia="en-US"/>
        </w:rPr>
        <w:t>ESMA invites responses to the questions set out throughout this Consultation Paper and summarised in Annex II. Responses are most helpful if they:</w:t>
      </w:r>
    </w:p>
    <w:p w14:paraId="4A3E409E" w14:textId="77777777" w:rsidR="00FE40D3" w:rsidRPr="00FE40D3" w:rsidRDefault="00FE40D3" w:rsidP="00442E06">
      <w:pPr>
        <w:numPr>
          <w:ilvl w:val="0"/>
          <w:numId w:val="38"/>
        </w:numPr>
        <w:spacing w:after="240" w:line="276" w:lineRule="auto"/>
        <w:jc w:val="both"/>
        <w:rPr>
          <w:sz w:val="22"/>
          <w:szCs w:val="22"/>
          <w:lang w:eastAsia="en-GB"/>
        </w:rPr>
      </w:pPr>
      <w:r w:rsidRPr="00FE40D3">
        <w:rPr>
          <w:sz w:val="22"/>
          <w:szCs w:val="22"/>
          <w:lang w:eastAsia="en-GB"/>
        </w:rPr>
        <w:t>respond to the question stated and indicate the specific question to which they relate;</w:t>
      </w:r>
    </w:p>
    <w:p w14:paraId="5141C67D" w14:textId="77777777" w:rsidR="00FE40D3" w:rsidRPr="00FE40D3" w:rsidRDefault="00FE40D3" w:rsidP="00442E06">
      <w:pPr>
        <w:numPr>
          <w:ilvl w:val="0"/>
          <w:numId w:val="38"/>
        </w:numPr>
        <w:spacing w:after="240" w:line="276" w:lineRule="auto"/>
        <w:jc w:val="both"/>
        <w:rPr>
          <w:sz w:val="22"/>
          <w:szCs w:val="22"/>
          <w:lang w:eastAsia="en-GB"/>
        </w:rPr>
      </w:pPr>
      <w:r w:rsidRPr="00FE40D3">
        <w:rPr>
          <w:sz w:val="22"/>
          <w:szCs w:val="22"/>
          <w:lang w:eastAsia="en-GB"/>
        </w:rPr>
        <w:t>contain a clear rationale; and</w:t>
      </w:r>
    </w:p>
    <w:p w14:paraId="63688220" w14:textId="77777777" w:rsidR="00FE40D3" w:rsidRPr="00FE40D3" w:rsidRDefault="00FE40D3" w:rsidP="00442E06">
      <w:pPr>
        <w:numPr>
          <w:ilvl w:val="0"/>
          <w:numId w:val="38"/>
        </w:numPr>
        <w:spacing w:after="240" w:line="276" w:lineRule="auto"/>
        <w:jc w:val="both"/>
        <w:rPr>
          <w:sz w:val="22"/>
          <w:szCs w:val="22"/>
          <w:lang w:eastAsia="en-GB"/>
        </w:rPr>
      </w:pPr>
      <w:r w:rsidRPr="00FE40D3">
        <w:rPr>
          <w:sz w:val="22"/>
          <w:szCs w:val="22"/>
          <w:lang w:eastAsia="en-GB"/>
        </w:rPr>
        <w:t>describe any alternatives ESMA should consider.</w:t>
      </w:r>
    </w:p>
    <w:p w14:paraId="3B54E1DD" w14:textId="62AC3BC0" w:rsidR="00FE40D3" w:rsidRPr="00FE40D3" w:rsidRDefault="00FE40D3" w:rsidP="00FE40D3">
      <w:pPr>
        <w:spacing w:after="240" w:line="276" w:lineRule="auto"/>
        <w:jc w:val="both"/>
        <w:rPr>
          <w:sz w:val="22"/>
          <w:szCs w:val="20"/>
          <w:lang w:eastAsia="en-US"/>
        </w:rPr>
      </w:pPr>
      <w:r w:rsidRPr="00FE40D3">
        <w:rPr>
          <w:sz w:val="22"/>
          <w:szCs w:val="20"/>
          <w:lang w:eastAsia="en-US"/>
        </w:rPr>
        <w:t xml:space="preserve">ESMA will consider all comments received by </w:t>
      </w:r>
      <w:r w:rsidR="00873B7E">
        <w:rPr>
          <w:b/>
        </w:rPr>
        <w:t>Thursday</w:t>
      </w:r>
      <w:r w:rsidR="00F87631" w:rsidRPr="002A7128">
        <w:rPr>
          <w:b/>
        </w:rPr>
        <w:t xml:space="preserve"> </w:t>
      </w:r>
      <w:r w:rsidR="00873B7E">
        <w:rPr>
          <w:b/>
        </w:rPr>
        <w:t>23</w:t>
      </w:r>
      <w:r w:rsidR="00F87631" w:rsidRPr="002A7128">
        <w:rPr>
          <w:b/>
          <w:vertAlign w:val="superscript"/>
        </w:rPr>
        <w:t>th</w:t>
      </w:r>
      <w:r w:rsidR="00F87631" w:rsidRPr="002A7128">
        <w:rPr>
          <w:b/>
        </w:rPr>
        <w:t xml:space="preserve"> </w:t>
      </w:r>
      <w:r w:rsidR="00873B7E">
        <w:rPr>
          <w:b/>
        </w:rPr>
        <w:t>December</w:t>
      </w:r>
      <w:r w:rsidR="00F87631" w:rsidRPr="002A7128">
        <w:rPr>
          <w:b/>
        </w:rPr>
        <w:t xml:space="preserve"> 2021.</w:t>
      </w:r>
    </w:p>
    <w:p w14:paraId="4269A5C4" w14:textId="77777777" w:rsidR="00FE40D3" w:rsidRPr="00FE40D3" w:rsidRDefault="00FE40D3" w:rsidP="00FE40D3">
      <w:pPr>
        <w:spacing w:after="240" w:line="276" w:lineRule="auto"/>
        <w:jc w:val="both"/>
        <w:rPr>
          <w:sz w:val="22"/>
          <w:szCs w:val="20"/>
          <w:lang w:eastAsia="en-US"/>
        </w:rPr>
      </w:pPr>
      <w:bookmarkStart w:id="0" w:name="_Hlk65069037"/>
      <w:r w:rsidRPr="00FE40D3">
        <w:rPr>
          <w:sz w:val="22"/>
          <w:szCs w:val="20"/>
          <w:lang w:eastAsia="en-US"/>
        </w:rPr>
        <w:t xml:space="preserve">All contributions should be submitted online at </w:t>
      </w:r>
      <w:hyperlink r:id="rId15" w:history="1">
        <w:r w:rsidRPr="00FE40D3">
          <w:rPr>
            <w:color w:val="0563C1"/>
            <w:sz w:val="22"/>
            <w:szCs w:val="20"/>
            <w:u w:val="single"/>
            <w:lang w:eastAsia="en-US"/>
          </w:rPr>
          <w:t>www.esma.europa.eu</w:t>
        </w:r>
      </w:hyperlink>
      <w:r w:rsidRPr="00FE40D3">
        <w:rPr>
          <w:sz w:val="22"/>
          <w:szCs w:val="20"/>
          <w:lang w:eastAsia="en-US"/>
        </w:rPr>
        <w:t xml:space="preserve"> under the heading ‘Your input - Consultations’. </w:t>
      </w:r>
    </w:p>
    <w:bookmarkEnd w:id="0"/>
    <w:p w14:paraId="6A0918CE" w14:textId="77777777" w:rsidR="00FE40D3" w:rsidRPr="00241178" w:rsidRDefault="00FE40D3" w:rsidP="00FE40D3">
      <w:pPr>
        <w:spacing w:after="120" w:line="276" w:lineRule="auto"/>
        <w:jc w:val="both"/>
        <w:rPr>
          <w:b/>
          <w:sz w:val="22"/>
          <w:szCs w:val="20"/>
          <w:lang w:eastAsia="en-US"/>
        </w:rPr>
      </w:pPr>
      <w:r w:rsidRPr="00241178">
        <w:rPr>
          <w:b/>
          <w:sz w:val="22"/>
          <w:szCs w:val="20"/>
          <w:lang w:eastAsia="en-US"/>
        </w:rPr>
        <w:t>Instructions</w:t>
      </w:r>
    </w:p>
    <w:p w14:paraId="7A099769" w14:textId="77777777" w:rsidR="00FE40D3" w:rsidRPr="00241178" w:rsidRDefault="00FE40D3" w:rsidP="00FE40D3">
      <w:pPr>
        <w:spacing w:after="240" w:line="276" w:lineRule="auto"/>
        <w:jc w:val="both"/>
        <w:rPr>
          <w:sz w:val="22"/>
          <w:szCs w:val="20"/>
          <w:lang w:eastAsia="en-US"/>
        </w:rPr>
      </w:pPr>
      <w:r w:rsidRPr="00241178">
        <w:rPr>
          <w:sz w:val="22"/>
          <w:szCs w:val="20"/>
          <w:lang w:eastAsia="en-US"/>
        </w:rPr>
        <w:t xml:space="preserve">In order to facilitate analysis of responses to the Consultation Paper, respondents are requested to follow the steps below when preparing and submitting their response: </w:t>
      </w:r>
    </w:p>
    <w:p w14:paraId="5D028BA8" w14:textId="01FEDD0D" w:rsidR="00FE40D3" w:rsidRPr="00241178" w:rsidRDefault="00FE40D3" w:rsidP="00442E06">
      <w:pPr>
        <w:numPr>
          <w:ilvl w:val="0"/>
          <w:numId w:val="38"/>
        </w:numPr>
        <w:spacing w:after="240" w:line="276" w:lineRule="auto"/>
        <w:jc w:val="both"/>
        <w:rPr>
          <w:sz w:val="22"/>
          <w:szCs w:val="22"/>
          <w:lang w:eastAsia="en-GB"/>
        </w:rPr>
      </w:pPr>
      <w:bookmarkStart w:id="1" w:name="_Hlk65154841"/>
      <w:r w:rsidRPr="00241178">
        <w:rPr>
          <w:sz w:val="22"/>
          <w:szCs w:val="22"/>
          <w:lang w:eastAsia="en-GB"/>
        </w:rPr>
        <w:t>Insert your responses to the consultation questions in th</w:t>
      </w:r>
      <w:r w:rsidR="006D0D0A">
        <w:rPr>
          <w:sz w:val="22"/>
          <w:szCs w:val="22"/>
          <w:lang w:eastAsia="en-GB"/>
        </w:rPr>
        <w:t>is</w:t>
      </w:r>
      <w:r w:rsidRPr="00241178">
        <w:rPr>
          <w:sz w:val="22"/>
          <w:szCs w:val="22"/>
          <w:lang w:eastAsia="en-GB"/>
        </w:rPr>
        <w:t xml:space="preserve"> form</w:t>
      </w:r>
      <w:r w:rsidR="006D0D0A">
        <w:rPr>
          <w:sz w:val="22"/>
          <w:szCs w:val="22"/>
          <w:lang w:eastAsia="en-GB"/>
        </w:rPr>
        <w:t>.</w:t>
      </w:r>
    </w:p>
    <w:bookmarkEnd w:id="1"/>
    <w:p w14:paraId="45B49741" w14:textId="1B9FCA3C" w:rsidR="00FE40D3" w:rsidRPr="00241178" w:rsidRDefault="00FE40D3" w:rsidP="00442E06">
      <w:pPr>
        <w:numPr>
          <w:ilvl w:val="0"/>
          <w:numId w:val="38"/>
        </w:numPr>
        <w:spacing w:after="240" w:line="276" w:lineRule="auto"/>
        <w:jc w:val="both"/>
        <w:rPr>
          <w:sz w:val="22"/>
          <w:szCs w:val="22"/>
          <w:lang w:eastAsia="en-GB"/>
        </w:rPr>
      </w:pPr>
      <w:r w:rsidRPr="00241178">
        <w:rPr>
          <w:sz w:val="22"/>
          <w:szCs w:val="22"/>
          <w:lang w:eastAsia="en-GB"/>
        </w:rPr>
        <w:t xml:space="preserve">Please do not remove tags of the type </w:t>
      </w:r>
      <w:r w:rsidRPr="00455107">
        <w:rPr>
          <w:sz w:val="22"/>
          <w:szCs w:val="22"/>
          <w:lang w:eastAsia="en-GB"/>
        </w:rPr>
        <w:t>&lt;ESMA_QUESTION_</w:t>
      </w:r>
      <w:r w:rsidR="00455107" w:rsidRPr="00455107">
        <w:rPr>
          <w:sz w:val="22"/>
          <w:szCs w:val="22"/>
          <w:lang w:eastAsia="en-GB"/>
        </w:rPr>
        <w:t>BEEX</w:t>
      </w:r>
      <w:r w:rsidRPr="00455107">
        <w:rPr>
          <w:sz w:val="22"/>
          <w:szCs w:val="22"/>
          <w:lang w:eastAsia="en-GB"/>
        </w:rPr>
        <w:t>_1&gt;.</w:t>
      </w:r>
      <w:r w:rsidRPr="00241178">
        <w:rPr>
          <w:sz w:val="22"/>
          <w:szCs w:val="22"/>
          <w:lang w:eastAsia="en-GB"/>
        </w:rPr>
        <w:t xml:space="preserve"> Your response to each question has to be framed by the two tags corresponding to the question. </w:t>
      </w:r>
    </w:p>
    <w:p w14:paraId="3C1B6FAE" w14:textId="77777777" w:rsidR="00FE40D3" w:rsidRPr="00241178" w:rsidRDefault="00FE40D3" w:rsidP="00442E06">
      <w:pPr>
        <w:numPr>
          <w:ilvl w:val="0"/>
          <w:numId w:val="38"/>
        </w:numPr>
        <w:spacing w:after="240" w:line="276" w:lineRule="auto"/>
        <w:jc w:val="both"/>
        <w:rPr>
          <w:sz w:val="22"/>
          <w:szCs w:val="22"/>
          <w:lang w:eastAsia="en-GB"/>
        </w:rPr>
      </w:pPr>
      <w:r w:rsidRPr="00241178">
        <w:rPr>
          <w:sz w:val="22"/>
          <w:szCs w:val="22"/>
          <w:lang w:eastAsia="en-GB"/>
        </w:rPr>
        <w:t>If you do not wish to respond to a given question, please do not delete it but simply leave the text “TYPE YOUR TEXT HERE” between the tags.</w:t>
      </w:r>
    </w:p>
    <w:p w14:paraId="0398429A" w14:textId="7E09D897" w:rsidR="00FE40D3" w:rsidRPr="00241178" w:rsidRDefault="00FE40D3" w:rsidP="00442E06">
      <w:pPr>
        <w:numPr>
          <w:ilvl w:val="0"/>
          <w:numId w:val="38"/>
        </w:numPr>
        <w:spacing w:after="240" w:line="276" w:lineRule="auto"/>
        <w:jc w:val="both"/>
        <w:rPr>
          <w:sz w:val="22"/>
          <w:szCs w:val="22"/>
          <w:lang w:eastAsia="en-GB"/>
        </w:rPr>
      </w:pPr>
      <w:r w:rsidRPr="00241178">
        <w:rPr>
          <w:sz w:val="22"/>
          <w:szCs w:val="22"/>
          <w:lang w:eastAsia="en-GB"/>
        </w:rPr>
        <w:t xml:space="preserve">When you have drafted your response, name your response form according to the following convention: </w:t>
      </w:r>
      <w:r w:rsidRPr="00455107">
        <w:rPr>
          <w:sz w:val="22"/>
          <w:szCs w:val="22"/>
          <w:lang w:eastAsia="en-GB"/>
        </w:rPr>
        <w:t>ESMA_</w:t>
      </w:r>
      <w:r w:rsidR="00455107" w:rsidRPr="00455107">
        <w:rPr>
          <w:sz w:val="22"/>
          <w:szCs w:val="22"/>
          <w:lang w:eastAsia="en-GB"/>
        </w:rPr>
        <w:t>BEEX</w:t>
      </w:r>
      <w:r w:rsidRPr="00455107">
        <w:rPr>
          <w:sz w:val="22"/>
          <w:szCs w:val="22"/>
          <w:lang w:eastAsia="en-GB"/>
        </w:rPr>
        <w:t>_nameofrespondent_RESPONSEFORM</w:t>
      </w:r>
      <w:r w:rsidRPr="00241178">
        <w:rPr>
          <w:sz w:val="22"/>
          <w:szCs w:val="22"/>
          <w:lang w:eastAsia="en-GB"/>
        </w:rPr>
        <w:t>. For example, for a respondent named ABCD, the response form would be entitled ESMA_</w:t>
      </w:r>
      <w:r w:rsidR="00455107">
        <w:rPr>
          <w:sz w:val="22"/>
          <w:szCs w:val="22"/>
          <w:lang w:eastAsia="en-GB"/>
        </w:rPr>
        <w:t>B</w:t>
      </w:r>
      <w:r w:rsidR="00075503" w:rsidRPr="00241178">
        <w:rPr>
          <w:sz w:val="22"/>
          <w:szCs w:val="22"/>
          <w:lang w:eastAsia="en-GB"/>
        </w:rPr>
        <w:t>E</w:t>
      </w:r>
      <w:r w:rsidR="00455107">
        <w:rPr>
          <w:sz w:val="22"/>
          <w:szCs w:val="22"/>
          <w:lang w:eastAsia="en-GB"/>
        </w:rPr>
        <w:t>EX</w:t>
      </w:r>
      <w:r w:rsidRPr="00241178">
        <w:rPr>
          <w:sz w:val="22"/>
          <w:szCs w:val="22"/>
          <w:lang w:eastAsia="en-GB"/>
        </w:rPr>
        <w:t>_ABCD_RESPONSEFORM.</w:t>
      </w:r>
    </w:p>
    <w:p w14:paraId="033FC000" w14:textId="2E00EAE3" w:rsidR="00FE40D3" w:rsidRPr="00241178" w:rsidRDefault="00FE40D3" w:rsidP="00442E06">
      <w:pPr>
        <w:numPr>
          <w:ilvl w:val="0"/>
          <w:numId w:val="38"/>
        </w:numPr>
        <w:spacing w:after="240" w:line="276" w:lineRule="auto"/>
        <w:jc w:val="both"/>
        <w:rPr>
          <w:sz w:val="22"/>
          <w:szCs w:val="22"/>
          <w:lang w:eastAsia="en-GB"/>
        </w:rPr>
      </w:pPr>
      <w:r w:rsidRPr="00241178">
        <w:rPr>
          <w:sz w:val="22"/>
          <w:szCs w:val="22"/>
          <w:lang w:eastAsia="en-GB"/>
        </w:rPr>
        <w:t>Upload the form containing your responses, in Word format, to ESMA’s website (</w:t>
      </w:r>
      <w:hyperlink r:id="rId16" w:history="1">
        <w:r w:rsidRPr="00241178">
          <w:rPr>
            <w:color w:val="0563C1"/>
            <w:sz w:val="22"/>
            <w:szCs w:val="22"/>
            <w:u w:val="single"/>
            <w:lang w:eastAsia="en-GB"/>
          </w:rPr>
          <w:t>www.esma.europa.eu</w:t>
        </w:r>
      </w:hyperlink>
      <w:r w:rsidRPr="00241178">
        <w:rPr>
          <w:sz w:val="22"/>
          <w:szCs w:val="22"/>
          <w:lang w:eastAsia="en-GB"/>
        </w:rPr>
        <w:t xml:space="preserve"> under the heading ‘Your input – Open consultations’ → ‘</w:t>
      </w:r>
      <w:r w:rsidR="00075503" w:rsidRPr="00241178">
        <w:rPr>
          <w:sz w:val="22"/>
          <w:szCs w:val="22"/>
          <w:lang w:eastAsia="en-GB"/>
        </w:rPr>
        <w:t>Consultation on</w:t>
      </w:r>
      <w:r w:rsidR="00886D30">
        <w:rPr>
          <w:sz w:val="22"/>
          <w:szCs w:val="22"/>
          <w:lang w:eastAsia="en-GB"/>
        </w:rPr>
        <w:t xml:space="preserve"> </w:t>
      </w:r>
      <w:r w:rsidR="00886D30" w:rsidRPr="00886D30">
        <w:rPr>
          <w:sz w:val="22"/>
          <w:szCs w:val="22"/>
          <w:lang w:eastAsia="en-GB"/>
        </w:rPr>
        <w:t>Review of the MiFID II framework on best execution reports</w:t>
      </w:r>
      <w:r w:rsidRPr="00241178">
        <w:rPr>
          <w:sz w:val="22"/>
          <w:szCs w:val="22"/>
          <w:lang w:eastAsia="en-GB"/>
        </w:rPr>
        <w:t>’).</w:t>
      </w:r>
    </w:p>
    <w:p w14:paraId="3FB5805D" w14:textId="77777777" w:rsidR="00FE40D3" w:rsidRPr="00FE40D3" w:rsidRDefault="00FE40D3" w:rsidP="00FE40D3">
      <w:pPr>
        <w:spacing w:after="120" w:line="264" w:lineRule="auto"/>
        <w:rPr>
          <w:b/>
          <w:sz w:val="22"/>
          <w:szCs w:val="20"/>
          <w:lang w:eastAsia="en-US"/>
        </w:rPr>
      </w:pPr>
      <w:r w:rsidRPr="00FE40D3">
        <w:rPr>
          <w:b/>
          <w:sz w:val="22"/>
          <w:szCs w:val="20"/>
          <w:lang w:eastAsia="en-US"/>
        </w:rPr>
        <w:br w:type="page"/>
      </w:r>
    </w:p>
    <w:p w14:paraId="310A4AC0" w14:textId="77777777" w:rsidR="00FE40D3" w:rsidRPr="00FE40D3" w:rsidRDefault="00FE40D3" w:rsidP="00FE40D3">
      <w:pPr>
        <w:keepNext/>
        <w:spacing w:after="120" w:line="276" w:lineRule="auto"/>
        <w:jc w:val="both"/>
        <w:rPr>
          <w:b/>
          <w:sz w:val="22"/>
          <w:szCs w:val="20"/>
          <w:lang w:eastAsia="en-US"/>
        </w:rPr>
      </w:pPr>
      <w:r w:rsidRPr="00FE40D3">
        <w:rPr>
          <w:b/>
          <w:sz w:val="22"/>
          <w:szCs w:val="20"/>
          <w:lang w:eastAsia="en-US"/>
        </w:rPr>
        <w:lastRenderedPageBreak/>
        <w:t>Publication of responses</w:t>
      </w:r>
    </w:p>
    <w:p w14:paraId="72E285DB" w14:textId="77777777" w:rsidR="00FE40D3" w:rsidRPr="00FE40D3" w:rsidRDefault="00FE40D3" w:rsidP="00FE40D3">
      <w:pPr>
        <w:spacing w:after="240" w:line="276" w:lineRule="auto"/>
        <w:jc w:val="both"/>
        <w:rPr>
          <w:sz w:val="22"/>
          <w:szCs w:val="20"/>
          <w:lang w:eastAsia="en-US"/>
        </w:rPr>
      </w:pPr>
      <w:r w:rsidRPr="00FE40D3">
        <w:rPr>
          <w:sz w:val="22"/>
          <w:szCs w:val="20"/>
          <w:lang w:eastAsia="en-US"/>
        </w:rPr>
        <w:t xml:space="preserve">All contributions received will be published following the close of the consultation, unless you request otherwise. </w:t>
      </w:r>
      <w:r w:rsidRPr="00FE40D3">
        <w:rPr>
          <w:sz w:val="22"/>
          <w:szCs w:val="20"/>
          <w:u w:val="single"/>
          <w:lang w:eastAsia="en-US"/>
        </w:rPr>
        <w:t>If you do not wish for your response to be publicly disclosed, please clearly indicate this by ticking the appropriate box on the website submission page</w:t>
      </w:r>
      <w:r w:rsidRPr="00FE40D3">
        <w:rPr>
          <w:sz w:val="22"/>
          <w:szCs w:val="20"/>
          <w:lang w:eastAsia="en-US"/>
        </w:rPr>
        <w:t>.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77362827" w14:textId="77777777" w:rsidR="00FE40D3" w:rsidRPr="00FE40D3" w:rsidRDefault="00FE40D3" w:rsidP="00FE40D3">
      <w:pPr>
        <w:spacing w:after="120" w:line="276" w:lineRule="auto"/>
        <w:jc w:val="both"/>
        <w:rPr>
          <w:b/>
          <w:sz w:val="22"/>
          <w:szCs w:val="20"/>
          <w:lang w:eastAsia="en-US"/>
        </w:rPr>
      </w:pPr>
      <w:r w:rsidRPr="00FE40D3">
        <w:rPr>
          <w:b/>
          <w:sz w:val="22"/>
          <w:szCs w:val="20"/>
          <w:lang w:eastAsia="en-US"/>
        </w:rPr>
        <w:t>Data protection</w:t>
      </w:r>
    </w:p>
    <w:p w14:paraId="73AF5B46" w14:textId="77777777" w:rsidR="00FE40D3" w:rsidRPr="00FE40D3" w:rsidRDefault="00FE40D3" w:rsidP="00FE40D3">
      <w:pPr>
        <w:spacing w:after="240" w:line="276" w:lineRule="auto"/>
        <w:jc w:val="both"/>
        <w:rPr>
          <w:sz w:val="22"/>
          <w:szCs w:val="20"/>
          <w:lang w:eastAsia="en-US"/>
        </w:rPr>
      </w:pPr>
      <w:r w:rsidRPr="00FE40D3">
        <w:rPr>
          <w:sz w:val="22"/>
          <w:szCs w:val="20"/>
          <w:lang w:eastAsia="en-US"/>
        </w:rPr>
        <w:t xml:space="preserve">Information on data protection can be found at </w:t>
      </w:r>
      <w:hyperlink r:id="rId17" w:history="1">
        <w:r w:rsidRPr="00FE40D3">
          <w:rPr>
            <w:color w:val="0563C1"/>
            <w:sz w:val="22"/>
            <w:szCs w:val="20"/>
            <w:u w:val="single"/>
            <w:lang w:eastAsia="en-US"/>
          </w:rPr>
          <w:t>www.esma.europa.eu</w:t>
        </w:r>
      </w:hyperlink>
      <w:r w:rsidRPr="00FE40D3">
        <w:rPr>
          <w:sz w:val="22"/>
          <w:szCs w:val="20"/>
          <w:lang w:eastAsia="en-US"/>
        </w:rPr>
        <w:t xml:space="preserve"> under the heading </w:t>
      </w:r>
      <w:r w:rsidRPr="00FE40D3">
        <w:rPr>
          <w:color w:val="0563C1"/>
          <w:sz w:val="22"/>
          <w:szCs w:val="20"/>
          <w:u w:val="single"/>
          <w:lang w:eastAsia="en-US"/>
        </w:rPr>
        <w:t>‘</w:t>
      </w:r>
      <w:hyperlink r:id="rId18" w:history="1">
        <w:r w:rsidRPr="00FE40D3">
          <w:rPr>
            <w:color w:val="0563C1"/>
            <w:sz w:val="22"/>
            <w:szCs w:val="20"/>
            <w:u w:val="single"/>
            <w:lang w:eastAsia="en-US"/>
          </w:rPr>
          <w:t>Data protection</w:t>
        </w:r>
      </w:hyperlink>
      <w:r w:rsidRPr="00FE40D3">
        <w:rPr>
          <w:color w:val="0563C1"/>
          <w:sz w:val="22"/>
          <w:szCs w:val="20"/>
          <w:u w:val="single"/>
          <w:lang w:eastAsia="en-US"/>
        </w:rPr>
        <w:t>’</w:t>
      </w:r>
      <w:r w:rsidRPr="00FE40D3">
        <w:rPr>
          <w:sz w:val="22"/>
          <w:szCs w:val="20"/>
          <w:lang w:eastAsia="en-US"/>
        </w:rPr>
        <w:t>.</w:t>
      </w:r>
    </w:p>
    <w:p w14:paraId="294D770E" w14:textId="77777777" w:rsidR="00FE40D3" w:rsidRPr="00FE40D3" w:rsidRDefault="00FE40D3" w:rsidP="00FE40D3">
      <w:pPr>
        <w:spacing w:after="120" w:line="276" w:lineRule="auto"/>
        <w:jc w:val="both"/>
        <w:rPr>
          <w:b/>
          <w:sz w:val="22"/>
          <w:szCs w:val="20"/>
          <w:lang w:eastAsia="en-US"/>
        </w:rPr>
      </w:pPr>
      <w:r w:rsidRPr="00FE40D3">
        <w:rPr>
          <w:b/>
          <w:sz w:val="22"/>
          <w:szCs w:val="20"/>
          <w:lang w:eastAsia="en-US"/>
        </w:rPr>
        <w:t>Who should read this paper?</w:t>
      </w:r>
    </w:p>
    <w:p w14:paraId="3FADC208" w14:textId="0DA37575" w:rsidR="00332304" w:rsidRPr="001021EF" w:rsidRDefault="0091143D" w:rsidP="00FE40D3">
      <w:pPr>
        <w:spacing w:after="240"/>
        <w:jc w:val="both"/>
        <w:rPr>
          <w:b/>
          <w:bCs/>
        </w:rPr>
      </w:pPr>
      <w:r w:rsidRPr="0091143D">
        <w:rPr>
          <w:sz w:val="22"/>
          <w:szCs w:val="20"/>
          <w:lang w:eastAsia="en-US"/>
        </w:rPr>
        <w:t>This document is of interest to execution venues, investment firms and their associations, investors, consumer associations, as well as any market participant engaged in the execution of orders under the MiFID II framework.</w:t>
      </w:r>
      <w:r w:rsidR="00332304" w:rsidRPr="001021EF">
        <w:rPr>
          <w:b/>
          <w:bCs/>
        </w:rPr>
        <w:br w:type="page"/>
      </w:r>
    </w:p>
    <w:p w14:paraId="07F9766A" w14:textId="77777777" w:rsidR="00B327E9" w:rsidRPr="00AB6D88" w:rsidRDefault="00B327E9" w:rsidP="00B327E9">
      <w:pPr>
        <w:pStyle w:val="Heading1"/>
        <w:numPr>
          <w:ilvl w:val="0"/>
          <w:numId w:val="0"/>
        </w:numPr>
      </w:pPr>
      <w:r w:rsidRPr="00AB6D88">
        <w:lastRenderedPageBreak/>
        <w:t>General information about respondent</w:t>
      </w:r>
    </w:p>
    <w:p w14:paraId="08407B41"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02AAC332" w14:textId="77777777" w:rsidTr="00F136AD">
        <w:tc>
          <w:tcPr>
            <w:tcW w:w="3929" w:type="dxa"/>
            <w:shd w:val="clear" w:color="auto" w:fill="auto"/>
          </w:tcPr>
          <w:p w14:paraId="2CC52FAD" w14:textId="77777777" w:rsidR="00B327E9" w:rsidRPr="00E40A5C" w:rsidRDefault="00B327E9" w:rsidP="00F136AD">
            <w:pPr>
              <w:rPr>
                <w:rFonts w:cs="Arial"/>
                <w:sz w:val="22"/>
              </w:rPr>
            </w:pPr>
            <w:r w:rsidRPr="00E40A5C">
              <w:rPr>
                <w:rFonts w:cs="Arial"/>
                <w:sz w:val="22"/>
              </w:rPr>
              <w:t>Name of the company / organisation</w:t>
            </w:r>
          </w:p>
        </w:tc>
        <w:sdt>
          <w:sdtPr>
            <w:rPr>
              <w:rStyle w:val="PlaceholderText"/>
              <w:rFonts w:cs="Arial"/>
            </w:rPr>
            <w:id w:val="-1905066999"/>
            <w:text/>
          </w:sdtPr>
          <w:sdtEndPr>
            <w:rPr>
              <w:rStyle w:val="PlaceholderText"/>
            </w:rPr>
          </w:sdtEndPr>
          <w:sdtContent>
            <w:permStart w:id="1493633476" w:edGrp="everyone" w:displacedByCustomXml="prev"/>
            <w:tc>
              <w:tcPr>
                <w:tcW w:w="5595" w:type="dxa"/>
                <w:shd w:val="clear" w:color="auto" w:fill="auto"/>
              </w:tcPr>
              <w:p w14:paraId="23C2C921" w14:textId="4AD83999" w:rsidR="00B327E9" w:rsidRPr="00AB6D88" w:rsidRDefault="002C266D" w:rsidP="00F136AD">
                <w:pPr>
                  <w:rPr>
                    <w:rStyle w:val="PlaceholderText"/>
                    <w:rFonts w:cs="Arial"/>
                  </w:rPr>
                </w:pPr>
                <w:r w:rsidRPr="009D5C1F">
                  <w:rPr>
                    <w:rFonts w:cstheme="minorHAnsi"/>
                  </w:rPr>
                  <w:t>FIA European Principal Traders Association</w:t>
                </w:r>
              </w:p>
            </w:tc>
            <w:permEnd w:id="1493633476" w:displacedByCustomXml="next"/>
          </w:sdtContent>
        </w:sdt>
      </w:tr>
      <w:tr w:rsidR="00B327E9" w:rsidRPr="00AB6D88" w14:paraId="0D2401D8" w14:textId="77777777" w:rsidTr="00F136AD">
        <w:tc>
          <w:tcPr>
            <w:tcW w:w="3929" w:type="dxa"/>
            <w:shd w:val="clear" w:color="auto" w:fill="auto"/>
          </w:tcPr>
          <w:p w14:paraId="6C0EFE39" w14:textId="77777777" w:rsidR="00B327E9" w:rsidRPr="00E40A5C" w:rsidRDefault="00B327E9" w:rsidP="00F136AD">
            <w:pPr>
              <w:rPr>
                <w:rFonts w:cs="Arial"/>
                <w:sz w:val="22"/>
              </w:rPr>
            </w:pPr>
            <w:permStart w:id="438450997" w:edGrp="everyone" w:colFirst="1" w:colLast="1"/>
            <w:r w:rsidRPr="00E40A5C">
              <w:rPr>
                <w:rFonts w:cs="Arial"/>
                <w:sz w:val="22"/>
              </w:rPr>
              <w:t>Activity</w:t>
            </w:r>
          </w:p>
        </w:tc>
        <w:tc>
          <w:tcPr>
            <w:tcW w:w="5595" w:type="dxa"/>
            <w:shd w:val="clear" w:color="auto" w:fill="auto"/>
          </w:tcPr>
          <w:p w14:paraId="163BBF3B" w14:textId="6DDD69D4" w:rsidR="00B327E9" w:rsidRPr="00AB6D88" w:rsidRDefault="00C46AF0" w:rsidP="00F136AD">
            <w:pPr>
              <w:rPr>
                <w:rFonts w:cs="Arial"/>
              </w:rPr>
            </w:pPr>
            <w:sdt>
              <w:sdtPr>
                <w:rPr>
                  <w:rFonts w:cs="Arial"/>
                </w:rPr>
                <w:alias w:val="Activity"/>
                <w:tag w:val="Activity"/>
                <w:id w:val="-476845391"/>
                <w:comboBox>
                  <w:listItem w:value="Choose an item."/>
                  <w:listItem w:displayText="AIFM" w:value="AIFM"/>
                  <w:listItem w:displayText="Asset Manager Association" w:value="Asset Manager Association"/>
                  <w:listItem w:displayText="Data/ Ratings Provider" w:value="Data/ Ratings Provider"/>
                  <w:listItem w:displayText="Exchange or Trading System" w:value="Exchange or Trading System"/>
                  <w:listItem w:displayText="Investment Analyst" w:value="Investment Analyst"/>
                  <w:listItem w:displayText="Investor" w:value="Investor"/>
                  <w:listItem w:displayText="Investor/ Consumer Association" w:value="Investor/ Consumer Association"/>
                  <w:listItem w:displayText="Issuer/ Non-Financial Undertaking" w:value="Issuer/ Non-Financial Undertaking"/>
                  <w:listItem w:displayText="Issuer Association" w:value="Issuer Association"/>
                  <w:listItem w:displayText="Legal and Accountancy" w:value="Legal and Accountancy"/>
                  <w:listItem w:displayText="Non-governmental Organisation and Other Associations" w:value="Non-governmental Organisation and Other Associations"/>
                  <w:listItem w:displayText="Regulated Market" w:value="Regulated Market"/>
                  <w:listItem w:displayText="Self-managed UCITS Investment Company/ Internally-managed AIF" w:value="Self-managed UCITS Investment Company/ Internally-managed AIF"/>
                  <w:listItem w:displayText="Standard Setter" w:value="Standard Setter"/>
                  <w:listItem w:displayText="UCITS Management Company / AIFM" w:value="UCITS Management Company / AIFM"/>
                  <w:listItem w:displayText="Other" w:value="Other"/>
                </w:comboBox>
              </w:sdtPr>
              <w:sdtEndPr/>
              <w:sdtContent>
                <w:r w:rsidR="002C266D">
                  <w:rPr>
                    <w:rFonts w:cs="Arial"/>
                  </w:rPr>
                  <w:t>Other</w:t>
                </w:r>
              </w:sdtContent>
            </w:sdt>
          </w:p>
        </w:tc>
      </w:tr>
      <w:permEnd w:id="438450997"/>
      <w:tr w:rsidR="00B327E9" w:rsidRPr="00AB6D88" w14:paraId="1A153F17" w14:textId="77777777" w:rsidTr="00F136AD">
        <w:tc>
          <w:tcPr>
            <w:tcW w:w="3929" w:type="dxa"/>
            <w:shd w:val="clear" w:color="auto" w:fill="auto"/>
          </w:tcPr>
          <w:p w14:paraId="396772EB" w14:textId="77777777" w:rsidR="00B327E9" w:rsidRPr="00E40A5C" w:rsidRDefault="00B327E9" w:rsidP="00F136AD">
            <w:pPr>
              <w:rPr>
                <w:rFonts w:cs="Arial"/>
                <w:sz w:val="22"/>
              </w:rPr>
            </w:pPr>
            <w:r w:rsidRPr="00E40A5C">
              <w:rPr>
                <w:rFonts w:cs="Arial"/>
                <w:sz w:val="22"/>
              </w:rPr>
              <w:t>Are you representing an association?</w:t>
            </w:r>
          </w:p>
        </w:tc>
        <w:permStart w:id="728653664" w:edGrp="everyone" w:displacedByCustomXml="next"/>
        <w:sdt>
          <w:sdtPr>
            <w:rPr>
              <w:rFonts w:cs="Arial"/>
            </w:rPr>
            <w:id w:val="-242871467"/>
            <w14:checkbox>
              <w14:checked w14:val="1"/>
              <w14:checkedState w14:val="2612" w14:font="MS Gothic"/>
              <w14:uncheckedState w14:val="2610" w14:font="MS Gothic"/>
            </w14:checkbox>
          </w:sdtPr>
          <w:sdtEndPr/>
          <w:sdtContent>
            <w:tc>
              <w:tcPr>
                <w:tcW w:w="5595" w:type="dxa"/>
                <w:shd w:val="clear" w:color="auto" w:fill="auto"/>
              </w:tcPr>
              <w:p w14:paraId="50B064BB" w14:textId="25768CB8" w:rsidR="00B327E9" w:rsidRPr="00AB6D88" w:rsidRDefault="002C266D" w:rsidP="00F136AD">
                <w:pPr>
                  <w:rPr>
                    <w:rFonts w:cs="Arial"/>
                  </w:rPr>
                </w:pPr>
                <w:r>
                  <w:rPr>
                    <w:rFonts w:ascii="MS Gothic" w:eastAsia="MS Gothic" w:hAnsi="MS Gothic" w:cs="Arial" w:hint="eastAsia"/>
                  </w:rPr>
                  <w:t>☒</w:t>
                </w:r>
              </w:p>
            </w:tc>
          </w:sdtContent>
        </w:sdt>
        <w:permEnd w:id="728653664" w:displacedByCustomXml="prev"/>
      </w:tr>
      <w:tr w:rsidR="00B327E9" w:rsidRPr="00AB6D88" w14:paraId="4F3F3D16" w14:textId="77777777" w:rsidTr="00F136AD">
        <w:tc>
          <w:tcPr>
            <w:tcW w:w="3929" w:type="dxa"/>
            <w:shd w:val="clear" w:color="auto" w:fill="auto"/>
          </w:tcPr>
          <w:p w14:paraId="3C221113" w14:textId="77777777" w:rsidR="00B327E9" w:rsidRPr="00E40A5C" w:rsidRDefault="00B327E9" w:rsidP="00F136AD">
            <w:pPr>
              <w:rPr>
                <w:rFonts w:cs="Arial"/>
                <w:sz w:val="22"/>
              </w:rPr>
            </w:pPr>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permStart w:id="2146979738" w:edGrp="everyone" w:displacedByCustomXml="prev"/>
            <w:tc>
              <w:tcPr>
                <w:tcW w:w="5595" w:type="dxa"/>
                <w:shd w:val="clear" w:color="auto" w:fill="auto"/>
              </w:tcPr>
              <w:p w14:paraId="01F5D6D4" w14:textId="5BD06B5A" w:rsidR="00B327E9" w:rsidRPr="00AB6D88" w:rsidRDefault="002C266D" w:rsidP="00F136AD">
                <w:pPr>
                  <w:rPr>
                    <w:rFonts w:cs="Arial"/>
                  </w:rPr>
                </w:pPr>
                <w:r>
                  <w:rPr>
                    <w:rFonts w:cs="Arial"/>
                  </w:rPr>
                  <w:t>Europe</w:t>
                </w:r>
              </w:p>
            </w:tc>
            <w:permEnd w:id="2146979738" w:displacedByCustomXml="next"/>
          </w:sdtContent>
        </w:sdt>
      </w:tr>
    </w:tbl>
    <w:p w14:paraId="48174611" w14:textId="77777777" w:rsidR="00B327E9" w:rsidRDefault="00B327E9" w:rsidP="00B327E9">
      <w:pPr>
        <w:spacing w:after="120" w:line="264" w:lineRule="auto"/>
      </w:pPr>
    </w:p>
    <w:p w14:paraId="3FE7D92F" w14:textId="77777777" w:rsidR="00B327E9" w:rsidRDefault="00B327E9" w:rsidP="00FE6577">
      <w:pPr>
        <w:pStyle w:val="Heading1"/>
        <w:numPr>
          <w:ilvl w:val="0"/>
          <w:numId w:val="0"/>
        </w:numPr>
        <w:ind w:left="431" w:hanging="431"/>
      </w:pPr>
      <w:r>
        <w:t>Introduction</w:t>
      </w:r>
    </w:p>
    <w:p w14:paraId="3C83C634" w14:textId="77777777" w:rsidR="00B327E9" w:rsidRPr="00E40A5C" w:rsidRDefault="00B327E9" w:rsidP="00FE6577">
      <w:pPr>
        <w:rPr>
          <w:rStyle w:val="IntenseEmphasis"/>
          <w:sz w:val="22"/>
        </w:rPr>
      </w:pPr>
      <w:r w:rsidRPr="00E40A5C">
        <w:rPr>
          <w:rStyle w:val="IntenseEmphasis"/>
          <w:sz w:val="22"/>
        </w:rPr>
        <w:t>Please make your introductory comments below, if any:</w:t>
      </w:r>
    </w:p>
    <w:p w14:paraId="26578279" w14:textId="77777777" w:rsidR="00B327E9" w:rsidRPr="00BF28DA" w:rsidRDefault="00B327E9" w:rsidP="00FE6577"/>
    <w:p w14:paraId="06351DAC" w14:textId="4EA6DF3F" w:rsidR="00B327E9" w:rsidRPr="006F4535" w:rsidRDefault="00B327E9" w:rsidP="00FE6577">
      <w:r w:rsidRPr="006F4535">
        <w:t>&lt;ESMA_COMMENT_</w:t>
      </w:r>
      <w:r w:rsidR="00455107" w:rsidRPr="00455107">
        <w:t>B</w:t>
      </w:r>
      <w:r w:rsidR="00A014B6" w:rsidRPr="00455107">
        <w:t>E</w:t>
      </w:r>
      <w:r w:rsidR="00455107" w:rsidRPr="00455107">
        <w:t>EX</w:t>
      </w:r>
      <w:r w:rsidRPr="006F4535">
        <w:t>_1&gt;</w:t>
      </w:r>
    </w:p>
    <w:p w14:paraId="3EC00E6D" w14:textId="77CFBAA7" w:rsidR="00B327E9" w:rsidRDefault="00543E3E" w:rsidP="00FE6577">
      <w:pPr>
        <w:rPr>
          <w:szCs w:val="40"/>
        </w:rPr>
      </w:pPr>
      <w:permStart w:id="44765448" w:edGrp="everyone"/>
      <w:r w:rsidRPr="00A76D38">
        <w:rPr>
          <w:rFonts w:cstheme="minorHAnsi"/>
        </w:rPr>
        <w:t xml:space="preserve">The </w:t>
      </w:r>
      <w:r>
        <w:rPr>
          <w:rFonts w:cstheme="minorHAnsi"/>
        </w:rPr>
        <w:t xml:space="preserve">FIA </w:t>
      </w:r>
      <w:r w:rsidRPr="00A76D38">
        <w:rPr>
          <w:rFonts w:cstheme="minorHAnsi"/>
        </w:rPr>
        <w:t xml:space="preserve">European Principal Traders Association (FIA EPTA) welcomes the opportunity to respond to </w:t>
      </w:r>
      <w:r>
        <w:rPr>
          <w:rFonts w:cstheme="minorHAnsi"/>
        </w:rPr>
        <w:t xml:space="preserve">ESMA Consultation Paper </w:t>
      </w:r>
      <w:r w:rsidRPr="00201005">
        <w:rPr>
          <w:rFonts w:cs="Arial"/>
          <w:szCs w:val="40"/>
        </w:rPr>
        <w:t>on</w:t>
      </w:r>
      <w:r w:rsidRPr="00201005">
        <w:rPr>
          <w:szCs w:val="40"/>
        </w:rPr>
        <w:t xml:space="preserve"> </w:t>
      </w:r>
      <w:r w:rsidRPr="00D92BBE">
        <w:rPr>
          <w:szCs w:val="40"/>
        </w:rPr>
        <w:t>Review of the MiFID II framework on best execution reports</w:t>
      </w:r>
      <w:r>
        <w:rPr>
          <w:szCs w:val="40"/>
        </w:rPr>
        <w:t>.</w:t>
      </w:r>
    </w:p>
    <w:p w14:paraId="51281684" w14:textId="77777777" w:rsidR="00543E3E" w:rsidRDefault="00543E3E" w:rsidP="00FE6577">
      <w:pPr>
        <w:rPr>
          <w:szCs w:val="40"/>
        </w:rPr>
      </w:pPr>
    </w:p>
    <w:p w14:paraId="3F9E68BB" w14:textId="33CC5314" w:rsidR="008A41FE" w:rsidRPr="00A76D38" w:rsidRDefault="008A41FE" w:rsidP="008A41FE">
      <w:pPr>
        <w:contextualSpacing/>
        <w:jc w:val="both"/>
        <w:rPr>
          <w:rFonts w:cstheme="minorHAnsi"/>
        </w:rPr>
      </w:pPr>
      <w:r w:rsidRPr="00A76D38">
        <w:rPr>
          <w:rFonts w:cstheme="minorHAnsi"/>
        </w:rPr>
        <w:t xml:space="preserve">FIA EPTA represents </w:t>
      </w:r>
      <w:r>
        <w:rPr>
          <w:rFonts w:cstheme="minorHAnsi"/>
        </w:rPr>
        <w:t>30</w:t>
      </w:r>
      <w:r w:rsidRPr="00A76D38">
        <w:rPr>
          <w:rFonts w:cstheme="minorHAnsi"/>
        </w:rPr>
        <w:t xml:space="preserve"> independent European Principal Trading Firms (PTFs) which deal on own account, using their own money for their own risk, to provide liquidity and immediate risk transfer in exchange-traded and </w:t>
      </w:r>
      <w:proofErr w:type="gramStart"/>
      <w:r w:rsidRPr="00A76D38">
        <w:rPr>
          <w:rFonts w:cstheme="minorHAnsi"/>
        </w:rPr>
        <w:t>centrally-cleared</w:t>
      </w:r>
      <w:proofErr w:type="gramEnd"/>
      <w:r w:rsidRPr="00A76D38">
        <w:rPr>
          <w:rFonts w:cstheme="minorHAnsi"/>
        </w:rPr>
        <w:t xml:space="preserve"> markets for a wide range of financial instruments, including shares, options, futures, bonds and ETFs. FIA EPTA’s members are based in the Czech Republic, Germany, Ireland, The Netherlands, and the UK</w:t>
      </w:r>
      <w:r w:rsidR="002F5E9E">
        <w:rPr>
          <w:rFonts w:cstheme="minorHAnsi"/>
        </w:rPr>
        <w:t>.</w:t>
      </w:r>
    </w:p>
    <w:p w14:paraId="3B24A8F9" w14:textId="77777777" w:rsidR="008A41FE" w:rsidRPr="00A76D38" w:rsidRDefault="008A41FE" w:rsidP="008A41FE">
      <w:pPr>
        <w:contextualSpacing/>
        <w:jc w:val="both"/>
        <w:rPr>
          <w:rFonts w:cstheme="minorHAnsi"/>
        </w:rPr>
      </w:pPr>
    </w:p>
    <w:p w14:paraId="08732689" w14:textId="77777777" w:rsidR="008A41FE" w:rsidRDefault="008A41FE" w:rsidP="008A41FE">
      <w:pPr>
        <w:contextualSpacing/>
        <w:rPr>
          <w:rFonts w:cstheme="minorHAnsi"/>
        </w:rPr>
      </w:pPr>
      <w:r w:rsidRPr="00A76D38">
        <w:rPr>
          <w:rFonts w:cstheme="minorHAnsi"/>
        </w:rPr>
        <w:t xml:space="preserve">Our members are independent market makers and providers of liquidity and risk transfer on trading venues and end-investors across Europe. Market making and liquidity provision (also referred to as principal trading or dealing on own account) is a distinct activity that is undertaken by non-systemic investment firms rather than banks, in a highly dispersed and varied ecosystem of independent Principal Trading Firms. These firms operate in an innovative and competitive fashion leading to a vibrant, </w:t>
      </w:r>
      <w:proofErr w:type="gramStart"/>
      <w:r w:rsidRPr="00A76D38">
        <w:rPr>
          <w:rFonts w:cstheme="minorHAnsi"/>
        </w:rPr>
        <w:t>dynamic</w:t>
      </w:r>
      <w:proofErr w:type="gramEnd"/>
      <w:r w:rsidRPr="00A76D38">
        <w:rPr>
          <w:rFonts w:cstheme="minorHAnsi"/>
        </w:rPr>
        <w:t xml:space="preserve"> and diverse ecosystem which massively reduces interconnectedness and increases substitutability. This fundamentally reduces systemic risk whilst improving market quality and lowering costs for retail and institutional investors alike.</w:t>
      </w:r>
    </w:p>
    <w:p w14:paraId="0CEED932" w14:textId="77777777" w:rsidR="002F5E9E" w:rsidRDefault="002F5E9E" w:rsidP="008A41FE">
      <w:pPr>
        <w:contextualSpacing/>
        <w:rPr>
          <w:rFonts w:cstheme="minorHAnsi"/>
        </w:rPr>
      </w:pPr>
    </w:p>
    <w:p w14:paraId="44E800C5" w14:textId="3A76895A" w:rsidR="00543E3E" w:rsidRPr="002F5E9E" w:rsidRDefault="002F5E9E" w:rsidP="002F5E9E">
      <w:pPr>
        <w:contextualSpacing/>
        <w:jc w:val="both"/>
        <w:rPr>
          <w:rFonts w:cstheme="minorHAnsi"/>
        </w:rPr>
      </w:pPr>
      <w:r w:rsidRPr="003A12F9">
        <w:rPr>
          <w:rFonts w:cstheme="minorHAnsi"/>
        </w:rPr>
        <w:t xml:space="preserve">FIA EPTA would welcome the opportunity to provide further background to </w:t>
      </w:r>
      <w:r>
        <w:rPr>
          <w:rFonts w:cstheme="minorHAnsi"/>
        </w:rPr>
        <w:t>ESMA</w:t>
      </w:r>
      <w:r w:rsidRPr="003A12F9">
        <w:rPr>
          <w:rFonts w:cstheme="minorHAnsi"/>
        </w:rPr>
        <w:t xml:space="preserve"> on the issues raised in our </w:t>
      </w:r>
      <w:r>
        <w:rPr>
          <w:rFonts w:cstheme="minorHAnsi"/>
        </w:rPr>
        <w:t>response.</w:t>
      </w:r>
    </w:p>
    <w:permEnd w:id="44765448"/>
    <w:p w14:paraId="68F63540" w14:textId="7BAC455B" w:rsidR="00B327E9" w:rsidRPr="00BF28DA" w:rsidRDefault="00B327E9" w:rsidP="00FE6577">
      <w:r w:rsidRPr="00BF28DA">
        <w:t>&lt;ESMA_COMMENT_</w:t>
      </w:r>
      <w:r w:rsidR="00455107" w:rsidRPr="00455107">
        <w:t xml:space="preserve"> BEEX</w:t>
      </w:r>
      <w:r w:rsidR="000A58BE">
        <w:t>_</w:t>
      </w:r>
      <w:r w:rsidRPr="00BF28DA">
        <w:t>1&gt;</w:t>
      </w:r>
    </w:p>
    <w:p w14:paraId="4865C74B" w14:textId="77777777" w:rsidR="002E7113" w:rsidRDefault="002E7113" w:rsidP="002E7113">
      <w:pPr>
        <w:pStyle w:val="Heading1"/>
        <w:numPr>
          <w:ilvl w:val="0"/>
          <w:numId w:val="0"/>
        </w:numPr>
      </w:pPr>
    </w:p>
    <w:p w14:paraId="039B696F" w14:textId="77777777" w:rsidR="00F31E57" w:rsidRPr="00BF28DA" w:rsidRDefault="00F31E57" w:rsidP="00D34282"/>
    <w:p w14:paraId="5B79D316" w14:textId="4E9789C6" w:rsidR="00014A67" w:rsidRDefault="00F31E57" w:rsidP="00014A67">
      <w:pPr>
        <w:pStyle w:val="Questionstyle"/>
      </w:pPr>
      <w:r w:rsidRPr="0075015C">
        <w:br w:type="page"/>
      </w:r>
    </w:p>
    <w:p w14:paraId="36E568B8" w14:textId="77777777" w:rsidR="004258CF" w:rsidRPr="004258CF" w:rsidRDefault="004258CF" w:rsidP="004258CF">
      <w:pPr>
        <w:numPr>
          <w:ilvl w:val="0"/>
          <w:numId w:val="36"/>
        </w:numPr>
        <w:spacing w:after="250" w:line="276" w:lineRule="auto"/>
        <w:contextualSpacing/>
        <w:jc w:val="both"/>
        <w:rPr>
          <w:rFonts w:cs="Arial"/>
          <w:b/>
          <w:szCs w:val="22"/>
          <w:lang w:val="en-US" w:eastAsia="en-US"/>
        </w:rPr>
      </w:pPr>
      <w:r w:rsidRPr="004258CF">
        <w:rPr>
          <w:rFonts w:cs="Arial"/>
          <w:b/>
          <w:szCs w:val="20"/>
          <w:lang w:val="en-US" w:eastAsia="en-GB"/>
        </w:rPr>
        <w:lastRenderedPageBreak/>
        <w:t>: Do you agree with the proposed scope in terms of execution venues for the reporting under a possible new RTS 27?</w:t>
      </w:r>
    </w:p>
    <w:p w14:paraId="19EF215B"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&lt;ESMA_QUESTION_BEEX_1&gt;</w:t>
      </w:r>
    </w:p>
    <w:p w14:paraId="1630A29A" w14:textId="77777777" w:rsidR="009465CC" w:rsidRDefault="009465CC" w:rsidP="009465CC">
      <w:pPr>
        <w:contextualSpacing/>
        <w:jc w:val="both"/>
        <w:rPr>
          <w:rFonts w:cs="Arial-BoldMT"/>
          <w:b/>
          <w:bCs/>
          <w:lang w:val="en-IE"/>
        </w:rPr>
      </w:pPr>
      <w:permStart w:id="222133246" w:edGrp="everyone"/>
      <w:r w:rsidRPr="00BF3F2C">
        <w:rPr>
          <w:rFonts w:cs="Arial-BoldMT"/>
          <w:lang w:val="en-IE"/>
        </w:rPr>
        <w:t xml:space="preserve">FIA EPTA agrees with the proposed change in scope of execution venues </w:t>
      </w:r>
      <w:proofErr w:type="gramStart"/>
      <w:r w:rsidRPr="00BF3F2C">
        <w:rPr>
          <w:rFonts w:cs="Arial-BoldMT"/>
          <w:lang w:val="en-IE"/>
        </w:rPr>
        <w:t>i.e.</w:t>
      </w:r>
      <w:proofErr w:type="gramEnd"/>
      <w:r w:rsidRPr="00BF3F2C">
        <w:rPr>
          <w:rFonts w:cs="Arial-BoldMT"/>
          <w:lang w:val="en-IE"/>
        </w:rPr>
        <w:t xml:space="preserve"> that execution venues for the purpose of the best execution reporting regime for execution venues (RTS 27) should not include ‘market makers’</w:t>
      </w:r>
      <w:r w:rsidRPr="00BF3F2C">
        <w:rPr>
          <w:rFonts w:cs="Arial-BoldMT"/>
          <w:b/>
          <w:bCs/>
          <w:lang w:val="en-IE"/>
        </w:rPr>
        <w:t xml:space="preserve">. </w:t>
      </w:r>
    </w:p>
    <w:p w14:paraId="62DABAD2" w14:textId="77777777" w:rsidR="009465CC" w:rsidRDefault="009465CC" w:rsidP="009465CC">
      <w:pPr>
        <w:contextualSpacing/>
        <w:jc w:val="both"/>
        <w:rPr>
          <w:rFonts w:cs="Arial-BoldMT"/>
          <w:b/>
          <w:bCs/>
          <w:lang w:val="en-IE"/>
        </w:rPr>
      </w:pPr>
    </w:p>
    <w:p w14:paraId="7C3DF210" w14:textId="77777777" w:rsidR="009465CC" w:rsidRPr="00583A1B" w:rsidRDefault="009465CC" w:rsidP="009465CC">
      <w:pPr>
        <w:autoSpaceDE w:val="0"/>
        <w:autoSpaceDN w:val="0"/>
        <w:adjustRightInd w:val="0"/>
        <w:jc w:val="both"/>
        <w:rPr>
          <w:rFonts w:ascii="Calibri" w:hAnsi="Calibri"/>
          <w:lang w:val="en-IE"/>
        </w:rPr>
      </w:pPr>
      <w:r w:rsidRPr="00583A1B">
        <w:rPr>
          <w:rFonts w:cs="Arial-BoldMT"/>
          <w:lang w:val="en-IE"/>
        </w:rPr>
        <w:t>In our opinion the scope</w:t>
      </w:r>
      <w:r>
        <w:rPr>
          <w:rFonts w:cs="Arial-BoldMT"/>
          <w:lang w:val="en-IE"/>
        </w:rPr>
        <w:t xml:space="preserve"> of the reporting regime</w:t>
      </w:r>
      <w:r w:rsidRPr="00583A1B">
        <w:rPr>
          <w:rFonts w:cs="Arial-BoldMT"/>
          <w:lang w:val="en-IE"/>
        </w:rPr>
        <w:t xml:space="preserve"> should </w:t>
      </w:r>
      <w:r>
        <w:rPr>
          <w:rFonts w:cs="Arial-BoldMT"/>
          <w:lang w:val="en-IE"/>
        </w:rPr>
        <w:t>be limited to</w:t>
      </w:r>
      <w:r w:rsidRPr="00583A1B">
        <w:rPr>
          <w:rFonts w:cs="Arial-BoldMT"/>
          <w:lang w:val="en-IE"/>
        </w:rPr>
        <w:t xml:space="preserve"> trading venues and SIs. </w:t>
      </w:r>
      <w:r>
        <w:rPr>
          <w:rFonts w:ascii="Calibri" w:hAnsi="Calibri" w:cs="Arial-BoldMT"/>
          <w:lang w:val="en-IE"/>
        </w:rPr>
        <w:t>However, FIA EPTA would question the requirement for ‘other liquidity providers’ to remain in the proposed scope. We believe that the scope of execution venues should mirror that of the STO definition of execution venues.</w:t>
      </w:r>
    </w:p>
    <w:p w14:paraId="6F7C3F9A" w14:textId="77777777" w:rsidR="009465CC" w:rsidRDefault="009465CC" w:rsidP="009465CC">
      <w:pPr>
        <w:contextualSpacing/>
        <w:jc w:val="both"/>
        <w:rPr>
          <w:rFonts w:ascii="Calibri" w:hAnsi="Calibri" w:cs="Arial-BoldMT"/>
          <w:lang w:val="en-IE"/>
        </w:rPr>
      </w:pPr>
    </w:p>
    <w:p w14:paraId="0CA0F773" w14:textId="77777777" w:rsidR="009465CC" w:rsidRDefault="009465CC" w:rsidP="009465CC">
      <w:pPr>
        <w:contextualSpacing/>
        <w:jc w:val="both"/>
        <w:rPr>
          <w:rFonts w:ascii="Calibri" w:hAnsi="Calibri" w:cs="Arial-BoldMT"/>
          <w:lang w:val="en-IE"/>
        </w:rPr>
      </w:pPr>
      <w:r>
        <w:rPr>
          <w:rFonts w:ascii="Calibri" w:hAnsi="Calibri" w:cs="Arial-BoldMT"/>
          <w:lang w:val="en-IE"/>
        </w:rPr>
        <w:t xml:space="preserve">Should ‘other liquidity providers’ remain in the scope of this reporting </w:t>
      </w:r>
      <w:proofErr w:type="gramStart"/>
      <w:r>
        <w:rPr>
          <w:rFonts w:ascii="Calibri" w:hAnsi="Calibri" w:cs="Arial-BoldMT"/>
          <w:lang w:val="en-IE"/>
        </w:rPr>
        <w:t>requirement,  we</w:t>
      </w:r>
      <w:proofErr w:type="gramEnd"/>
      <w:r>
        <w:rPr>
          <w:rFonts w:ascii="Calibri" w:hAnsi="Calibri" w:cs="Arial-BoldMT"/>
          <w:lang w:val="en-IE"/>
        </w:rPr>
        <w:t xml:space="preserve"> would request clarity as to what types of trading activity/firms are included under ‘other </w:t>
      </w:r>
      <w:proofErr w:type="spellStart"/>
      <w:r>
        <w:rPr>
          <w:rFonts w:ascii="Calibri" w:hAnsi="Calibri" w:cs="Arial-BoldMT"/>
          <w:lang w:val="en-IE"/>
        </w:rPr>
        <w:t>liquidty</w:t>
      </w:r>
      <w:proofErr w:type="spellEnd"/>
      <w:r>
        <w:rPr>
          <w:rFonts w:ascii="Calibri" w:hAnsi="Calibri" w:cs="Arial-BoldMT"/>
          <w:lang w:val="en-IE"/>
        </w:rPr>
        <w:t xml:space="preserve"> providers’. As this is not a defined term under MiFID II, the exclusion of ‘market makers’ but inclusion of ‘other liquidity providers’ in the reporting scope is expected to cause confusion unless there is a clear differentiation between the two. </w:t>
      </w:r>
    </w:p>
    <w:permEnd w:id="222133246"/>
    <w:p w14:paraId="6324657C"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&lt;ESMA_QUESTION_BEEX_1&gt;</w:t>
      </w:r>
    </w:p>
    <w:p w14:paraId="065626B5" w14:textId="77777777" w:rsidR="004258CF" w:rsidRPr="004258CF" w:rsidRDefault="004258CF" w:rsidP="004258CF">
      <w:pPr>
        <w:spacing w:after="160" w:line="256" w:lineRule="auto"/>
        <w:rPr>
          <w:rFonts w:ascii="Calibri" w:eastAsia="Calibri" w:hAnsi="Calibri"/>
          <w:sz w:val="22"/>
          <w:szCs w:val="22"/>
          <w:lang w:eastAsia="en-US"/>
        </w:rPr>
      </w:pPr>
    </w:p>
    <w:p w14:paraId="3217AD5F" w14:textId="77777777" w:rsidR="004258CF" w:rsidRPr="004258CF" w:rsidRDefault="004258CF" w:rsidP="004258CF">
      <w:pPr>
        <w:numPr>
          <w:ilvl w:val="0"/>
          <w:numId w:val="36"/>
        </w:numPr>
        <w:spacing w:after="250" w:line="276" w:lineRule="auto"/>
        <w:contextualSpacing/>
        <w:jc w:val="both"/>
        <w:rPr>
          <w:rFonts w:cs="Arial"/>
          <w:b/>
          <w:szCs w:val="20"/>
          <w:lang w:val="en-US" w:eastAsia="en-GB"/>
        </w:rPr>
      </w:pPr>
      <w:r w:rsidRPr="004258CF">
        <w:rPr>
          <w:rFonts w:cs="Arial"/>
          <w:b/>
          <w:szCs w:val="20"/>
          <w:lang w:val="en-US" w:eastAsia="en-GB"/>
        </w:rPr>
        <w:t>: Do you agree with the proposed level of granularity by types of financial instruments instead of individual financial instruments under a new potential reporting regime? In particular, do you agree with the two proposed categories concerning shares (i.e., shares considered to have a liquid market and shares not considered to have a liquid market)? If not, please state the reasons for your answer and clarify what alternative categorisations you would propose in order to have a meaningful level of granularity for a new reporting regime.</w:t>
      </w:r>
    </w:p>
    <w:p w14:paraId="5162D127"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&lt;ESMA_QUESTION_BEEX_2&gt;</w:t>
      </w:r>
    </w:p>
    <w:p w14:paraId="19C63B5C" w14:textId="77777777" w:rsidR="00371270" w:rsidRDefault="00371270" w:rsidP="00371270">
      <w:pPr>
        <w:contextualSpacing/>
        <w:jc w:val="both"/>
        <w:rPr>
          <w:rFonts w:ascii="Calibri" w:hAnsi="Calibri" w:cs="Arial-BoldMT"/>
          <w:lang w:val="en-IE"/>
        </w:rPr>
      </w:pPr>
      <w:permStart w:id="147554275" w:edGrp="everyone"/>
      <w:r>
        <w:rPr>
          <w:rFonts w:ascii="Calibri" w:hAnsi="Calibri" w:cs="Arial-BoldMT"/>
          <w:lang w:val="en-IE"/>
        </w:rPr>
        <w:t xml:space="preserve">FIA EPTA agrees with the proposal to aggregate level of granularity by types of financial </w:t>
      </w:r>
      <w:proofErr w:type="spellStart"/>
      <w:r>
        <w:rPr>
          <w:rFonts w:ascii="Calibri" w:hAnsi="Calibri" w:cs="Arial-BoldMT"/>
          <w:lang w:val="en-IE"/>
        </w:rPr>
        <w:t>instrumentent</w:t>
      </w:r>
      <w:proofErr w:type="spellEnd"/>
      <w:r>
        <w:rPr>
          <w:rFonts w:ascii="Calibri" w:hAnsi="Calibri" w:cs="Arial-BoldMT"/>
          <w:lang w:val="en-IE"/>
        </w:rPr>
        <w:t xml:space="preserve"> instead of reporting on a per individual financial instrument basis. As set out by ESMA, this should enhance the user friendliness of the data, make it more comparable and provide a complementary source of information to post-trade transparency reporting to assist market participants in choosing the most suitable venues for their executions. </w:t>
      </w:r>
    </w:p>
    <w:p w14:paraId="64DFF33D" w14:textId="77777777" w:rsidR="00371270" w:rsidRDefault="00371270" w:rsidP="00371270">
      <w:pPr>
        <w:contextualSpacing/>
        <w:jc w:val="both"/>
        <w:rPr>
          <w:rFonts w:ascii="Calibri" w:hAnsi="Calibri" w:cs="Arial-BoldMT"/>
          <w:lang w:val="en-IE"/>
        </w:rPr>
      </w:pPr>
    </w:p>
    <w:p w14:paraId="7E835B8D" w14:textId="77777777" w:rsidR="00371270" w:rsidRDefault="00371270" w:rsidP="00371270">
      <w:pPr>
        <w:contextualSpacing/>
        <w:jc w:val="both"/>
        <w:rPr>
          <w:rFonts w:ascii="Calibri" w:hAnsi="Calibri" w:cs="Arial-BoldMT"/>
          <w:lang w:val="en-IE"/>
        </w:rPr>
      </w:pPr>
      <w:r>
        <w:rPr>
          <w:rFonts w:ascii="Calibri" w:hAnsi="Calibri" w:cs="Arial-BoldMT"/>
          <w:lang w:val="en-IE"/>
        </w:rPr>
        <w:t xml:space="preserve">With regards to the two proposed categories concerning shares, </w:t>
      </w:r>
      <w:proofErr w:type="gramStart"/>
      <w:r>
        <w:rPr>
          <w:rFonts w:ascii="Calibri" w:hAnsi="Calibri" w:cs="Arial-BoldMT"/>
          <w:lang w:val="en-IE"/>
        </w:rPr>
        <w:t>i.e.</w:t>
      </w:r>
      <w:proofErr w:type="gramEnd"/>
      <w:r>
        <w:rPr>
          <w:rFonts w:ascii="Calibri" w:hAnsi="Calibri" w:cs="Arial-BoldMT"/>
          <w:lang w:val="en-IE"/>
        </w:rPr>
        <w:t xml:space="preserve"> those considered to have a </w:t>
      </w:r>
      <w:proofErr w:type="spellStart"/>
      <w:r>
        <w:rPr>
          <w:rFonts w:ascii="Calibri" w:hAnsi="Calibri" w:cs="Arial-BoldMT"/>
          <w:lang w:val="en-IE"/>
        </w:rPr>
        <w:t>liqud</w:t>
      </w:r>
      <w:proofErr w:type="spellEnd"/>
      <w:r>
        <w:rPr>
          <w:rFonts w:ascii="Calibri" w:hAnsi="Calibri" w:cs="Arial-BoldMT"/>
          <w:lang w:val="en-IE"/>
        </w:rPr>
        <w:t xml:space="preserve"> market and those considered not to have a liquid market, FIA EPTA members believe this differentiation would be appropriate. </w:t>
      </w:r>
    </w:p>
    <w:p w14:paraId="105C1BBF" w14:textId="77777777" w:rsidR="00371270" w:rsidRDefault="00371270" w:rsidP="00371270">
      <w:pPr>
        <w:contextualSpacing/>
        <w:jc w:val="both"/>
        <w:rPr>
          <w:rFonts w:ascii="Calibri" w:hAnsi="Calibri" w:cs="Arial-BoldMT"/>
          <w:lang w:val="en-IE"/>
        </w:rPr>
      </w:pPr>
    </w:p>
    <w:p w14:paraId="56FEB57C" w14:textId="78ECB578" w:rsidR="004258CF" w:rsidRPr="00371270" w:rsidRDefault="00371270" w:rsidP="009B287F">
      <w:pPr>
        <w:contextualSpacing/>
        <w:jc w:val="both"/>
        <w:rPr>
          <w:rFonts w:ascii="Calibri" w:hAnsi="Calibri" w:cs="Arial-BoldMT"/>
          <w:lang w:val="en-IE"/>
        </w:rPr>
      </w:pPr>
      <w:r>
        <w:rPr>
          <w:rFonts w:ascii="Calibri" w:hAnsi="Calibri" w:cs="Arial-BoldMT"/>
          <w:lang w:val="en-IE"/>
        </w:rPr>
        <w:t xml:space="preserve">In addition, our members agree with aggregating non-equity instruments </w:t>
      </w:r>
      <w:proofErr w:type="gramStart"/>
      <w:r>
        <w:rPr>
          <w:rFonts w:ascii="Calibri" w:hAnsi="Calibri" w:cs="Arial-BoldMT"/>
          <w:lang w:val="en-IE"/>
        </w:rPr>
        <w:t>on the basis of</w:t>
      </w:r>
      <w:proofErr w:type="gramEnd"/>
      <w:r>
        <w:rPr>
          <w:rFonts w:ascii="Calibri" w:hAnsi="Calibri" w:cs="Arial-BoldMT"/>
          <w:lang w:val="en-IE"/>
        </w:rPr>
        <w:t xml:space="preserve"> the </w:t>
      </w:r>
      <w:proofErr w:type="spellStart"/>
      <w:r>
        <w:rPr>
          <w:rFonts w:ascii="Calibri" w:hAnsi="Calibri" w:cs="Arial-BoldMT"/>
          <w:lang w:val="en-IE"/>
        </w:rPr>
        <w:t>MiFIR</w:t>
      </w:r>
      <w:proofErr w:type="spellEnd"/>
      <w:r>
        <w:rPr>
          <w:rFonts w:ascii="Calibri" w:hAnsi="Calibri" w:cs="Arial-BoldMT"/>
          <w:lang w:val="en-IE"/>
        </w:rPr>
        <w:t xml:space="preserve"> identifier as set out in RTS 2. However, our members believe that further consideration and consultation would be needed to determine the appropriate level for ‘further dividing them </w:t>
      </w:r>
      <w:proofErr w:type="gramStart"/>
      <w:r>
        <w:rPr>
          <w:rFonts w:ascii="Calibri" w:hAnsi="Calibri" w:cs="Arial-BoldMT"/>
          <w:lang w:val="en-IE"/>
        </w:rPr>
        <w:t>on the basis of</w:t>
      </w:r>
      <w:proofErr w:type="gramEnd"/>
      <w:r>
        <w:rPr>
          <w:rFonts w:ascii="Calibri" w:hAnsi="Calibri" w:cs="Arial-BoldMT"/>
          <w:lang w:val="en-IE"/>
        </w:rPr>
        <w:t xml:space="preserve"> another level of granularity, which needs to be adapted to each type of instruments’ and would caution against requiring significant development work on the part of execution venues without fully validating the aptness and impacts of this level of granularity.</w:t>
      </w:r>
    </w:p>
    <w:permEnd w:id="147554275"/>
    <w:p w14:paraId="04853A9B"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&lt;ESMA_QUESTION_BEEX_2&gt;</w:t>
      </w:r>
    </w:p>
    <w:p w14:paraId="0625F6A6" w14:textId="77777777" w:rsidR="004258CF" w:rsidRPr="004258CF" w:rsidRDefault="004258CF" w:rsidP="004258CF">
      <w:pPr>
        <w:spacing w:after="160" w:line="256" w:lineRule="auto"/>
        <w:rPr>
          <w:rFonts w:ascii="Calibri" w:eastAsia="Calibri" w:hAnsi="Calibri"/>
          <w:sz w:val="22"/>
          <w:szCs w:val="22"/>
          <w:lang w:eastAsia="en-US"/>
        </w:rPr>
      </w:pPr>
    </w:p>
    <w:p w14:paraId="7973E377" w14:textId="77777777" w:rsidR="004258CF" w:rsidRPr="004258CF" w:rsidRDefault="004258CF" w:rsidP="004258CF">
      <w:pPr>
        <w:numPr>
          <w:ilvl w:val="0"/>
          <w:numId w:val="36"/>
        </w:numPr>
        <w:spacing w:after="250" w:line="276" w:lineRule="auto"/>
        <w:contextualSpacing/>
        <w:jc w:val="both"/>
        <w:rPr>
          <w:rFonts w:cs="Arial"/>
          <w:b/>
          <w:szCs w:val="20"/>
          <w:lang w:val="en-US" w:eastAsia="en-GB"/>
        </w:rPr>
      </w:pPr>
      <w:r w:rsidRPr="004258CF">
        <w:rPr>
          <w:rFonts w:cs="Arial"/>
          <w:b/>
          <w:szCs w:val="20"/>
          <w:lang w:val="en-US" w:eastAsia="en-GB"/>
        </w:rPr>
        <w:t>: Do you agree with the proposed metrics to report the execution quality obtained by execution venues?</w:t>
      </w:r>
    </w:p>
    <w:p w14:paraId="6DEA5007"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&lt;ESMA_QUESTION_BEEX_3&gt;</w:t>
      </w:r>
    </w:p>
    <w:p w14:paraId="679DAAF0" w14:textId="77777777" w:rsidR="00EA53FB" w:rsidRPr="000D2C3A" w:rsidRDefault="00EA53FB" w:rsidP="00EA53FB">
      <w:pPr>
        <w:contextualSpacing/>
        <w:jc w:val="both"/>
        <w:rPr>
          <w:rFonts w:cstheme="minorHAnsi"/>
          <w:lang w:val="en-US"/>
        </w:rPr>
      </w:pPr>
      <w:permStart w:id="2033745150" w:edGrp="everyone"/>
      <w:r w:rsidRPr="000D2C3A">
        <w:rPr>
          <w:rFonts w:cstheme="minorHAnsi"/>
          <w:lang w:val="en-US"/>
        </w:rPr>
        <w:t xml:space="preserve">FIA EPTA welcomes the intent of the proposed metrics. We believe that best execution data should be meaningful, </w:t>
      </w:r>
      <w:proofErr w:type="gramStart"/>
      <w:r w:rsidRPr="000D2C3A">
        <w:rPr>
          <w:rFonts w:cstheme="minorHAnsi"/>
          <w:lang w:val="en-US"/>
        </w:rPr>
        <w:t>accessible</w:t>
      </w:r>
      <w:proofErr w:type="gramEnd"/>
      <w:r w:rsidRPr="000D2C3A">
        <w:rPr>
          <w:rFonts w:cstheme="minorHAnsi"/>
          <w:lang w:val="en-US"/>
        </w:rPr>
        <w:t xml:space="preserve"> and understandable for retail consumers which would encourage competition and retail participation in the capital markets as per the CMU's objectives.</w:t>
      </w:r>
    </w:p>
    <w:p w14:paraId="26B3AAA1" w14:textId="77777777" w:rsidR="00EA53FB" w:rsidRPr="000D2C3A" w:rsidRDefault="00EA53FB" w:rsidP="00EA53FB">
      <w:pPr>
        <w:contextualSpacing/>
        <w:jc w:val="both"/>
        <w:rPr>
          <w:rFonts w:cstheme="minorHAnsi"/>
          <w:lang w:val="en-US"/>
        </w:rPr>
      </w:pPr>
    </w:p>
    <w:p w14:paraId="55A5BC7A" w14:textId="77777777" w:rsidR="00EA53FB" w:rsidRPr="000D2C3A" w:rsidRDefault="00EA53FB" w:rsidP="00EA53FB">
      <w:pPr>
        <w:contextualSpacing/>
        <w:jc w:val="both"/>
        <w:rPr>
          <w:rFonts w:cstheme="minorHAnsi"/>
          <w:lang w:val="en-US"/>
        </w:rPr>
      </w:pPr>
      <w:r w:rsidRPr="000D2C3A">
        <w:rPr>
          <w:rFonts w:cstheme="minorHAnsi"/>
          <w:lang w:val="en-US"/>
        </w:rPr>
        <w:lastRenderedPageBreak/>
        <w:t xml:space="preserve">In terms of assessing meaningful best execution, at both the granular and aggregated level, FIA EPTA would like to stress the importance and value that a Consolidated Tape would provide to the process. A Consolidated Tape would provide users with a </w:t>
      </w:r>
      <w:proofErr w:type="spellStart"/>
      <w:r w:rsidRPr="000D2C3A">
        <w:rPr>
          <w:rFonts w:cstheme="minorHAnsi"/>
          <w:lang w:val="en-US"/>
        </w:rPr>
        <w:t>harmonised</w:t>
      </w:r>
      <w:proofErr w:type="spellEnd"/>
      <w:r w:rsidRPr="000D2C3A">
        <w:rPr>
          <w:rFonts w:cstheme="minorHAnsi"/>
          <w:lang w:val="en-US"/>
        </w:rPr>
        <w:t xml:space="preserve"> data source, that all Investment Firms and Trading Venues could use, so as to assess the quality of execution on a </w:t>
      </w:r>
      <w:proofErr w:type="gramStart"/>
      <w:r w:rsidRPr="000D2C3A">
        <w:rPr>
          <w:rFonts w:cstheme="minorHAnsi"/>
          <w:lang w:val="en-US"/>
        </w:rPr>
        <w:t>trade by trade</w:t>
      </w:r>
      <w:proofErr w:type="gramEnd"/>
      <w:r w:rsidRPr="000D2C3A">
        <w:rPr>
          <w:rFonts w:cstheme="minorHAnsi"/>
          <w:lang w:val="en-US"/>
        </w:rPr>
        <w:t xml:space="preserve"> basis. The key aspect of the enhancement this would provide is the uniformity of the data source which would then provide consumers with truly direct and comparable data on the quality of their execution. While we will continue to provide feedback on the seven metrics proposed, we would contend that before any decisions are made on metrics to be published in the RTS 27 reports, ESMA should wait to see the structure of the proposed Consolidated Tape so that it could be incorporated into these metrics in the future. </w:t>
      </w:r>
    </w:p>
    <w:p w14:paraId="523C73EE" w14:textId="77777777" w:rsidR="00EA53FB" w:rsidRPr="000D2C3A" w:rsidRDefault="00EA53FB" w:rsidP="00EA53FB">
      <w:pPr>
        <w:contextualSpacing/>
        <w:jc w:val="both"/>
        <w:rPr>
          <w:rFonts w:cstheme="minorHAnsi"/>
          <w:lang w:val="en-US"/>
        </w:rPr>
      </w:pPr>
    </w:p>
    <w:p w14:paraId="7438429B" w14:textId="77777777" w:rsidR="00EA53FB" w:rsidRPr="000D2C3A" w:rsidRDefault="00EA53FB" w:rsidP="00EA53FB">
      <w:pPr>
        <w:contextualSpacing/>
        <w:jc w:val="both"/>
        <w:rPr>
          <w:rFonts w:cstheme="minorHAnsi"/>
          <w:lang w:val="en-US"/>
        </w:rPr>
      </w:pPr>
      <w:r w:rsidRPr="000D2C3A">
        <w:rPr>
          <w:rFonts w:cstheme="minorHAnsi"/>
          <w:lang w:val="en-US"/>
        </w:rPr>
        <w:t xml:space="preserve">While FIA EPTA welcomes the intent of the proposed metrics, we also would like to stress that unless the individual metric is of material value and accessible to its target audience, we would not be in </w:t>
      </w:r>
      <w:proofErr w:type="spellStart"/>
      <w:r w:rsidRPr="000D2C3A">
        <w:rPr>
          <w:rFonts w:cstheme="minorHAnsi"/>
          <w:lang w:val="en-US"/>
        </w:rPr>
        <w:t>favour</w:t>
      </w:r>
      <w:proofErr w:type="spellEnd"/>
      <w:r w:rsidRPr="000D2C3A">
        <w:rPr>
          <w:rFonts w:cstheme="minorHAnsi"/>
          <w:lang w:val="en-US"/>
        </w:rPr>
        <w:t xml:space="preserve"> of including that metric in the proposed new RTS 27 report. This would create unnecessary overhead for Trading Venues and Investment Firms involved while providing little value to the market.</w:t>
      </w:r>
      <w:r>
        <w:rPr>
          <w:rFonts w:cstheme="minorHAnsi"/>
          <w:lang w:val="en-US"/>
        </w:rPr>
        <w:t xml:space="preserve"> In this regard, we would like to offer the below comments:</w:t>
      </w:r>
    </w:p>
    <w:p w14:paraId="2D6029A6" w14:textId="77777777" w:rsidR="00EA53FB" w:rsidRPr="000D2C3A" w:rsidRDefault="00EA53FB" w:rsidP="00EA53FB">
      <w:pPr>
        <w:contextualSpacing/>
        <w:jc w:val="both"/>
        <w:rPr>
          <w:rFonts w:cstheme="minorHAnsi"/>
          <w:lang w:val="en-US"/>
        </w:rPr>
      </w:pPr>
    </w:p>
    <w:p w14:paraId="5D2A8A2A" w14:textId="77777777" w:rsidR="00EA53FB" w:rsidRPr="000D1330" w:rsidRDefault="00EA53FB" w:rsidP="00EA53FB">
      <w:pPr>
        <w:pStyle w:val="ListParagraph"/>
        <w:numPr>
          <w:ilvl w:val="0"/>
          <w:numId w:val="39"/>
        </w:numPr>
        <w:jc w:val="both"/>
        <w:rPr>
          <w:rFonts w:asciiTheme="minorHAnsi" w:hAnsiTheme="minorHAnsi" w:cstheme="minorHAnsi"/>
          <w:i/>
          <w:iCs/>
          <w:lang w:val="en-US"/>
        </w:rPr>
      </w:pPr>
      <w:r w:rsidRPr="000D1330">
        <w:rPr>
          <w:rFonts w:asciiTheme="minorHAnsi" w:hAnsiTheme="minorHAnsi" w:cstheme="minorHAnsi"/>
          <w:i/>
          <w:iCs/>
          <w:lang w:val="en-US"/>
        </w:rPr>
        <w:t>Metric 1 - The total nominal or monetary value of all transactions per type of financial instruments that were executed by the venue, in the previous quarter of the year.</w:t>
      </w:r>
    </w:p>
    <w:p w14:paraId="44034453" w14:textId="77777777" w:rsidR="00EA53FB" w:rsidRPr="000D2C3A" w:rsidRDefault="00EA53FB" w:rsidP="00EA53FB">
      <w:pPr>
        <w:pStyle w:val="ListParagraph"/>
        <w:jc w:val="both"/>
        <w:rPr>
          <w:rFonts w:asciiTheme="minorHAnsi" w:hAnsiTheme="minorHAnsi" w:cstheme="minorHAnsi"/>
          <w:lang w:val="en-US"/>
        </w:rPr>
      </w:pPr>
    </w:p>
    <w:p w14:paraId="4C61008A" w14:textId="77777777" w:rsidR="00EA53FB" w:rsidRPr="000D2C3A" w:rsidRDefault="00EA53FB" w:rsidP="00EA53FB">
      <w:pPr>
        <w:pStyle w:val="ListParagraph"/>
        <w:jc w:val="both"/>
        <w:rPr>
          <w:rFonts w:asciiTheme="minorHAnsi" w:hAnsiTheme="minorHAnsi" w:cstheme="minorHAnsi"/>
          <w:lang w:val="en-US"/>
        </w:rPr>
      </w:pPr>
      <w:r w:rsidRPr="000D2C3A">
        <w:rPr>
          <w:rFonts w:asciiTheme="minorHAnsi" w:hAnsiTheme="minorHAnsi" w:cstheme="minorHAnsi"/>
          <w:lang w:val="en-US"/>
        </w:rPr>
        <w:t xml:space="preserve">FIA EPTA agrees that this metric represents, at a high level, a broad indication of liquidity at a trading venue level. As reporting will be carried out at the per type of financial instrument level, this metric will show that the primary exchanges will be the most liquid venues in the Union. This information may be useful when deciding on what trading venue might provide best execution for liquid instruments. However, the shortcoming of this method becomes apparent when considering illiquid instruments where best execution is often found away from Primary Exchanges. A pertinent example of such a scenario would be in Scandinavian stocks, where best execution can typically be found with </w:t>
      </w:r>
      <w:proofErr w:type="spellStart"/>
      <w:r w:rsidRPr="000D2C3A">
        <w:rPr>
          <w:rFonts w:asciiTheme="minorHAnsi" w:hAnsiTheme="minorHAnsi" w:cstheme="minorHAnsi"/>
          <w:lang w:val="en-US"/>
        </w:rPr>
        <w:t>specialised</w:t>
      </w:r>
      <w:proofErr w:type="spellEnd"/>
      <w:r w:rsidRPr="000D2C3A">
        <w:rPr>
          <w:rFonts w:asciiTheme="minorHAnsi" w:hAnsiTheme="minorHAnsi" w:cstheme="minorHAnsi"/>
          <w:lang w:val="en-US"/>
        </w:rPr>
        <w:t xml:space="preserve"> local brokers. Whilst this metric is useful at a very high level, it is inherently skewed in </w:t>
      </w:r>
      <w:proofErr w:type="spellStart"/>
      <w:r w:rsidRPr="000D2C3A">
        <w:rPr>
          <w:rFonts w:asciiTheme="minorHAnsi" w:hAnsiTheme="minorHAnsi" w:cstheme="minorHAnsi"/>
          <w:lang w:val="en-US"/>
        </w:rPr>
        <w:t>favour</w:t>
      </w:r>
      <w:proofErr w:type="spellEnd"/>
      <w:r w:rsidRPr="000D2C3A">
        <w:rPr>
          <w:rFonts w:asciiTheme="minorHAnsi" w:hAnsiTheme="minorHAnsi" w:cstheme="minorHAnsi"/>
          <w:lang w:val="en-US"/>
        </w:rPr>
        <w:t xml:space="preserve"> of primary exchanges.</w:t>
      </w:r>
    </w:p>
    <w:p w14:paraId="405E868C" w14:textId="77777777" w:rsidR="00EA53FB" w:rsidRPr="000D2C3A" w:rsidRDefault="00EA53FB" w:rsidP="00EA53FB">
      <w:pPr>
        <w:contextualSpacing/>
        <w:jc w:val="both"/>
        <w:rPr>
          <w:rFonts w:cstheme="minorHAnsi"/>
          <w:lang w:val="en-US"/>
        </w:rPr>
      </w:pPr>
    </w:p>
    <w:p w14:paraId="055C8F97" w14:textId="77777777" w:rsidR="00EA53FB" w:rsidRPr="00D80C53" w:rsidRDefault="00EA53FB" w:rsidP="00EA53FB">
      <w:pPr>
        <w:pStyle w:val="ListParagraph"/>
        <w:numPr>
          <w:ilvl w:val="0"/>
          <w:numId w:val="39"/>
        </w:numPr>
        <w:jc w:val="both"/>
        <w:rPr>
          <w:rFonts w:asciiTheme="minorHAnsi" w:hAnsiTheme="minorHAnsi" w:cstheme="minorHAnsi"/>
          <w:i/>
          <w:iCs/>
          <w:lang w:val="en-US"/>
        </w:rPr>
      </w:pPr>
      <w:r w:rsidRPr="00D80C53">
        <w:rPr>
          <w:rFonts w:asciiTheme="minorHAnsi" w:hAnsiTheme="minorHAnsi" w:cstheme="minorHAnsi"/>
          <w:i/>
          <w:iCs/>
          <w:lang w:val="en-US"/>
        </w:rPr>
        <w:t>Metric 2 -The median monetary transaction value per type of financial instrument in the previous quarter of the year.</w:t>
      </w:r>
    </w:p>
    <w:p w14:paraId="4AFD4874" w14:textId="77777777" w:rsidR="00EA53FB" w:rsidRPr="000D2C3A" w:rsidRDefault="00EA53FB" w:rsidP="00EA53FB">
      <w:pPr>
        <w:pStyle w:val="ListParagraph"/>
        <w:jc w:val="both"/>
        <w:rPr>
          <w:rFonts w:asciiTheme="minorHAnsi" w:hAnsiTheme="minorHAnsi" w:cstheme="minorHAnsi"/>
          <w:lang w:val="en-US"/>
        </w:rPr>
      </w:pPr>
    </w:p>
    <w:p w14:paraId="71D1779C" w14:textId="77777777" w:rsidR="00EA53FB" w:rsidRPr="000D2C3A" w:rsidRDefault="00EA53FB" w:rsidP="00EA53FB">
      <w:pPr>
        <w:pStyle w:val="ListParagraph"/>
        <w:jc w:val="both"/>
        <w:rPr>
          <w:rFonts w:asciiTheme="minorHAnsi" w:hAnsiTheme="minorHAnsi" w:cstheme="minorHAnsi"/>
          <w:lang w:val="en-US"/>
        </w:rPr>
      </w:pPr>
      <w:r w:rsidRPr="000D2C3A">
        <w:rPr>
          <w:rFonts w:asciiTheme="minorHAnsi" w:hAnsiTheme="minorHAnsi" w:cstheme="minorHAnsi"/>
          <w:lang w:val="en-US"/>
        </w:rPr>
        <w:t xml:space="preserve">FIA EPTA agrees with the proposed metric. While grouping by instrument type may again </w:t>
      </w:r>
      <w:proofErr w:type="spellStart"/>
      <w:r w:rsidRPr="000D2C3A">
        <w:rPr>
          <w:rFonts w:asciiTheme="minorHAnsi" w:hAnsiTheme="minorHAnsi" w:cstheme="minorHAnsi"/>
          <w:lang w:val="en-US"/>
        </w:rPr>
        <w:t>favour</w:t>
      </w:r>
      <w:proofErr w:type="spellEnd"/>
      <w:r w:rsidRPr="000D2C3A">
        <w:rPr>
          <w:rFonts w:asciiTheme="minorHAnsi" w:hAnsiTheme="minorHAnsi" w:cstheme="minorHAnsi"/>
          <w:lang w:val="en-US"/>
        </w:rPr>
        <w:t xml:space="preserve"> the larger exchanges, we see this as crucial information for a consumer to consider when deciding on execution venue, particularly </w:t>
      </w:r>
      <w:proofErr w:type="gramStart"/>
      <w:r w:rsidRPr="000D2C3A">
        <w:rPr>
          <w:rFonts w:asciiTheme="minorHAnsi" w:hAnsiTheme="minorHAnsi" w:cstheme="minorHAnsi"/>
          <w:lang w:val="en-US"/>
        </w:rPr>
        <w:t>taking into account</w:t>
      </w:r>
      <w:proofErr w:type="gramEnd"/>
      <w:r w:rsidRPr="000D2C3A">
        <w:rPr>
          <w:rFonts w:asciiTheme="minorHAnsi" w:hAnsiTheme="minorHAnsi" w:cstheme="minorHAnsi"/>
          <w:lang w:val="en-US"/>
        </w:rPr>
        <w:t xml:space="preserve"> the size of their order.</w:t>
      </w:r>
    </w:p>
    <w:p w14:paraId="0BE683FA" w14:textId="77777777" w:rsidR="00EA53FB" w:rsidRPr="000D2C3A" w:rsidRDefault="00EA53FB" w:rsidP="00EA53FB">
      <w:pPr>
        <w:contextualSpacing/>
        <w:jc w:val="both"/>
        <w:rPr>
          <w:rFonts w:cstheme="minorHAnsi"/>
          <w:lang w:val="en-US"/>
        </w:rPr>
      </w:pPr>
    </w:p>
    <w:p w14:paraId="2561BB4E" w14:textId="77777777" w:rsidR="00EA53FB" w:rsidRPr="00D80C53" w:rsidRDefault="00EA53FB" w:rsidP="00EA53FB">
      <w:pPr>
        <w:pStyle w:val="ListParagraph"/>
        <w:numPr>
          <w:ilvl w:val="0"/>
          <w:numId w:val="39"/>
        </w:numPr>
        <w:jc w:val="both"/>
        <w:rPr>
          <w:rFonts w:asciiTheme="minorHAnsi" w:hAnsiTheme="minorHAnsi" w:cstheme="minorHAnsi"/>
          <w:i/>
          <w:iCs/>
          <w:lang w:val="en-US"/>
        </w:rPr>
      </w:pPr>
      <w:r w:rsidRPr="00D80C53">
        <w:rPr>
          <w:rFonts w:asciiTheme="minorHAnsi" w:hAnsiTheme="minorHAnsi" w:cstheme="minorHAnsi"/>
          <w:i/>
          <w:iCs/>
          <w:lang w:val="en-US"/>
        </w:rPr>
        <w:t>Metric 3 - The costs for a median transaction showing the fees the execution venue applied to any of its users for a median transaction during the previous reporting period.</w:t>
      </w:r>
    </w:p>
    <w:p w14:paraId="315B5CA1" w14:textId="77777777" w:rsidR="00EA53FB" w:rsidRPr="000D2C3A" w:rsidRDefault="00EA53FB" w:rsidP="00EA53FB">
      <w:pPr>
        <w:pStyle w:val="ListParagraph"/>
        <w:jc w:val="both"/>
        <w:rPr>
          <w:rFonts w:asciiTheme="minorHAnsi" w:hAnsiTheme="minorHAnsi" w:cstheme="minorHAnsi"/>
          <w:lang w:val="en-US"/>
        </w:rPr>
      </w:pPr>
    </w:p>
    <w:p w14:paraId="18FD564C" w14:textId="77777777" w:rsidR="00EA53FB" w:rsidRPr="000D2C3A" w:rsidRDefault="00EA53FB" w:rsidP="00EA53FB">
      <w:pPr>
        <w:pStyle w:val="ListParagraph"/>
        <w:jc w:val="both"/>
        <w:rPr>
          <w:rFonts w:asciiTheme="minorHAnsi" w:hAnsiTheme="minorHAnsi" w:cstheme="minorHAnsi"/>
          <w:lang w:val="en-US"/>
        </w:rPr>
      </w:pPr>
      <w:r w:rsidRPr="000D2C3A">
        <w:rPr>
          <w:rFonts w:asciiTheme="minorHAnsi" w:hAnsiTheme="minorHAnsi" w:cstheme="minorHAnsi"/>
          <w:lang w:val="en-US"/>
        </w:rPr>
        <w:t xml:space="preserve">FIA EPTA agrees with the intent of the proposed metric. However, we propose a minor amendment that would provide a much more useful metric for the purposes of a best execution assessment. This would be to look at the median transaction costs applied to the median user, rather than median transaction. This proposed change would ensure the metric is not skewed by larger scale users such as sponsored access users, who receive very low transaction fees and execute a large </w:t>
      </w:r>
      <w:proofErr w:type="gramStart"/>
      <w:r w:rsidRPr="000D2C3A">
        <w:rPr>
          <w:rFonts w:asciiTheme="minorHAnsi" w:hAnsiTheme="minorHAnsi" w:cstheme="minorHAnsi"/>
          <w:lang w:val="en-US"/>
        </w:rPr>
        <w:t>amount</w:t>
      </w:r>
      <w:proofErr w:type="gramEnd"/>
      <w:r w:rsidRPr="000D2C3A">
        <w:rPr>
          <w:rFonts w:asciiTheme="minorHAnsi" w:hAnsiTheme="minorHAnsi" w:cstheme="minorHAnsi"/>
          <w:lang w:val="en-US"/>
        </w:rPr>
        <w:t xml:space="preserve"> of trades which would then skew the average transaction costs downwards on that Venue. That situation would not be reflective of the experience of the average user and thus the costs applied to the median user would provide more beneficial insight to the costs of executing on a certain trading venue for a retail consumer.</w:t>
      </w:r>
    </w:p>
    <w:p w14:paraId="49E451DD" w14:textId="77777777" w:rsidR="00EA53FB" w:rsidRPr="000D2C3A" w:rsidRDefault="00EA53FB" w:rsidP="00EA53FB">
      <w:pPr>
        <w:contextualSpacing/>
        <w:jc w:val="both"/>
        <w:rPr>
          <w:rFonts w:cstheme="minorHAnsi"/>
          <w:lang w:val="en-US"/>
        </w:rPr>
      </w:pPr>
    </w:p>
    <w:p w14:paraId="57256439" w14:textId="77777777" w:rsidR="00EA53FB" w:rsidRPr="00D80C53" w:rsidRDefault="00EA53FB" w:rsidP="00EA53FB">
      <w:pPr>
        <w:pStyle w:val="ListParagraph"/>
        <w:numPr>
          <w:ilvl w:val="0"/>
          <w:numId w:val="39"/>
        </w:numPr>
        <w:jc w:val="both"/>
        <w:rPr>
          <w:rFonts w:asciiTheme="minorHAnsi" w:hAnsiTheme="minorHAnsi" w:cstheme="minorHAnsi"/>
          <w:i/>
          <w:iCs/>
          <w:lang w:val="en-US"/>
        </w:rPr>
      </w:pPr>
      <w:r w:rsidRPr="00D80C53">
        <w:rPr>
          <w:rFonts w:asciiTheme="minorHAnsi" w:hAnsiTheme="minorHAnsi" w:cstheme="minorHAnsi"/>
          <w:i/>
          <w:iCs/>
          <w:lang w:val="en-US"/>
        </w:rPr>
        <w:t>Metric 4 - The bid-offer spread related to the median transaction of the previous quarter of the year.</w:t>
      </w:r>
    </w:p>
    <w:p w14:paraId="5082CFD9" w14:textId="77777777" w:rsidR="00EA53FB" w:rsidRPr="000D2C3A" w:rsidRDefault="00EA53FB" w:rsidP="00EA53FB">
      <w:pPr>
        <w:pStyle w:val="ListParagraph"/>
        <w:jc w:val="both"/>
        <w:rPr>
          <w:rFonts w:asciiTheme="minorHAnsi" w:hAnsiTheme="minorHAnsi" w:cstheme="minorHAnsi"/>
          <w:lang w:val="en-US"/>
        </w:rPr>
      </w:pPr>
    </w:p>
    <w:p w14:paraId="456C9C50" w14:textId="77777777" w:rsidR="00EA53FB" w:rsidRPr="000D2C3A" w:rsidRDefault="00EA53FB" w:rsidP="00EA53FB">
      <w:pPr>
        <w:pStyle w:val="ListParagraph"/>
        <w:jc w:val="both"/>
        <w:rPr>
          <w:rFonts w:asciiTheme="minorHAnsi" w:hAnsiTheme="minorHAnsi" w:cstheme="minorHAnsi"/>
          <w:lang w:val="en-US"/>
        </w:rPr>
      </w:pPr>
      <w:r w:rsidRPr="000D2C3A">
        <w:rPr>
          <w:rFonts w:asciiTheme="minorHAnsi" w:hAnsiTheme="minorHAnsi" w:cstheme="minorHAnsi"/>
          <w:lang w:val="en-US"/>
        </w:rPr>
        <w:t>FIA EPTA agrees with the proposed metric.</w:t>
      </w:r>
    </w:p>
    <w:p w14:paraId="72B572CA" w14:textId="77777777" w:rsidR="00EA53FB" w:rsidRPr="000D2C3A" w:rsidRDefault="00EA53FB" w:rsidP="00EA53FB">
      <w:pPr>
        <w:contextualSpacing/>
        <w:jc w:val="both"/>
        <w:rPr>
          <w:rFonts w:cstheme="minorHAnsi"/>
          <w:lang w:val="en-US"/>
        </w:rPr>
      </w:pPr>
    </w:p>
    <w:p w14:paraId="3601A565" w14:textId="77777777" w:rsidR="00EA53FB" w:rsidRPr="00D80C53" w:rsidRDefault="00EA53FB" w:rsidP="00EA53FB">
      <w:pPr>
        <w:pStyle w:val="ListParagraph"/>
        <w:numPr>
          <w:ilvl w:val="0"/>
          <w:numId w:val="39"/>
        </w:numPr>
        <w:jc w:val="both"/>
        <w:rPr>
          <w:rFonts w:asciiTheme="minorHAnsi" w:hAnsiTheme="minorHAnsi" w:cstheme="minorHAnsi"/>
          <w:i/>
          <w:iCs/>
          <w:lang w:val="en-US"/>
        </w:rPr>
      </w:pPr>
      <w:r w:rsidRPr="00D80C53">
        <w:rPr>
          <w:rFonts w:asciiTheme="minorHAnsi" w:hAnsiTheme="minorHAnsi" w:cstheme="minorHAnsi"/>
          <w:i/>
          <w:iCs/>
          <w:lang w:val="en-US"/>
        </w:rPr>
        <w:t>Metric 5 - The access to further information on costs requiring venues to make more details on relevant fees and charges for the execution of orders easily available for the public and market participants.</w:t>
      </w:r>
    </w:p>
    <w:p w14:paraId="7832F0D3" w14:textId="77777777" w:rsidR="00EA53FB" w:rsidRPr="000D2C3A" w:rsidRDefault="00EA53FB" w:rsidP="00EA53FB">
      <w:pPr>
        <w:pStyle w:val="ListParagraph"/>
        <w:jc w:val="both"/>
        <w:rPr>
          <w:rFonts w:asciiTheme="minorHAnsi" w:hAnsiTheme="minorHAnsi" w:cstheme="minorHAnsi"/>
          <w:lang w:val="en-US"/>
        </w:rPr>
      </w:pPr>
    </w:p>
    <w:p w14:paraId="554DC663" w14:textId="77777777" w:rsidR="00EA53FB" w:rsidRPr="000D2C3A" w:rsidRDefault="00EA53FB" w:rsidP="00EA53FB">
      <w:pPr>
        <w:pStyle w:val="ListParagraph"/>
        <w:jc w:val="both"/>
        <w:rPr>
          <w:rFonts w:asciiTheme="minorHAnsi" w:hAnsiTheme="minorHAnsi" w:cstheme="minorHAnsi"/>
          <w:lang w:val="en-US"/>
        </w:rPr>
      </w:pPr>
      <w:r w:rsidRPr="000D2C3A">
        <w:rPr>
          <w:rFonts w:asciiTheme="minorHAnsi" w:hAnsiTheme="minorHAnsi" w:cstheme="minorHAnsi"/>
          <w:lang w:val="en-US"/>
        </w:rPr>
        <w:lastRenderedPageBreak/>
        <w:t>FIA EPTA agree with the proposed metric.</w:t>
      </w:r>
    </w:p>
    <w:p w14:paraId="23C0A7FF" w14:textId="77777777" w:rsidR="00EA53FB" w:rsidRPr="000D2C3A" w:rsidRDefault="00EA53FB" w:rsidP="00EA53FB">
      <w:pPr>
        <w:contextualSpacing/>
        <w:jc w:val="both"/>
        <w:rPr>
          <w:rFonts w:cstheme="minorHAnsi"/>
          <w:lang w:val="en-US"/>
        </w:rPr>
      </w:pPr>
    </w:p>
    <w:p w14:paraId="30F9A7EC" w14:textId="77777777" w:rsidR="00EA53FB" w:rsidRPr="00D80C53" w:rsidRDefault="00EA53FB" w:rsidP="00EA53FB">
      <w:pPr>
        <w:pStyle w:val="ListParagraph"/>
        <w:numPr>
          <w:ilvl w:val="0"/>
          <w:numId w:val="39"/>
        </w:numPr>
        <w:jc w:val="both"/>
        <w:rPr>
          <w:rFonts w:asciiTheme="minorHAnsi" w:hAnsiTheme="minorHAnsi" w:cstheme="minorHAnsi"/>
          <w:i/>
          <w:iCs/>
          <w:lang w:val="en-US"/>
        </w:rPr>
      </w:pPr>
      <w:r w:rsidRPr="00D80C53">
        <w:rPr>
          <w:rFonts w:asciiTheme="minorHAnsi" w:hAnsiTheme="minorHAnsi" w:cstheme="minorHAnsi"/>
          <w:i/>
          <w:iCs/>
          <w:lang w:val="en-US"/>
        </w:rPr>
        <w:t>Metric 6 - The speed of execution</w:t>
      </w:r>
      <w:r>
        <w:rPr>
          <w:rFonts w:asciiTheme="minorHAnsi" w:hAnsiTheme="minorHAnsi" w:cstheme="minorHAnsi"/>
          <w:i/>
          <w:iCs/>
          <w:lang w:val="en-US"/>
        </w:rPr>
        <w:t>.</w:t>
      </w:r>
    </w:p>
    <w:p w14:paraId="74ABCABE" w14:textId="77777777" w:rsidR="00EA53FB" w:rsidRPr="000D2C3A" w:rsidRDefault="00EA53FB" w:rsidP="00EA53FB">
      <w:pPr>
        <w:pStyle w:val="ListParagraph"/>
        <w:jc w:val="both"/>
        <w:rPr>
          <w:rFonts w:asciiTheme="minorHAnsi" w:hAnsiTheme="minorHAnsi" w:cstheme="minorHAnsi"/>
          <w:lang w:val="en-US"/>
        </w:rPr>
      </w:pPr>
    </w:p>
    <w:p w14:paraId="7D8DDC32" w14:textId="77777777" w:rsidR="00EA53FB" w:rsidRPr="000D2C3A" w:rsidRDefault="00EA53FB" w:rsidP="00EA53FB">
      <w:pPr>
        <w:pStyle w:val="ListParagraph"/>
        <w:jc w:val="both"/>
        <w:rPr>
          <w:rFonts w:asciiTheme="minorHAnsi" w:hAnsiTheme="minorHAnsi" w:cstheme="minorHAnsi"/>
          <w:lang w:val="en-US"/>
        </w:rPr>
      </w:pPr>
      <w:r w:rsidRPr="000D2C3A">
        <w:rPr>
          <w:rFonts w:asciiTheme="minorHAnsi" w:hAnsiTheme="minorHAnsi" w:cstheme="minorHAnsi"/>
          <w:lang w:val="en-US"/>
        </w:rPr>
        <w:t>FIA EPTA would argue that this metric in and of itself, while informative to sophisticated market participants, is of very little value to retail investors and could in fact be misleading in many cases. Firstly, speed of execution must be clearly defined as there are multiple elements to a trading venue's infrastructure and each venue must apply this calculation in a uniform manner for the metric to be valuable to a user. Secondly, speed of execution for a retail user not only includes the relative speed of the venue's matching engine but also the latency of sending that order to that matching engine including the various gateways and pre-trade control layers inherent in the chain of transmission. A stand-alone metric ignores these latency concerns and has the potential to mislead the unsophisticated investor.</w:t>
      </w:r>
    </w:p>
    <w:p w14:paraId="46457010" w14:textId="77777777" w:rsidR="00EA53FB" w:rsidRPr="000D2C3A" w:rsidRDefault="00EA53FB" w:rsidP="00EA53FB">
      <w:pPr>
        <w:contextualSpacing/>
        <w:jc w:val="both"/>
        <w:rPr>
          <w:rFonts w:cstheme="minorHAnsi"/>
          <w:lang w:val="en-US"/>
        </w:rPr>
      </w:pPr>
    </w:p>
    <w:p w14:paraId="70E8E010" w14:textId="77777777" w:rsidR="00EA53FB" w:rsidRPr="00D80C53" w:rsidRDefault="00EA53FB" w:rsidP="00EA53FB">
      <w:pPr>
        <w:pStyle w:val="ListParagraph"/>
        <w:numPr>
          <w:ilvl w:val="0"/>
          <w:numId w:val="39"/>
        </w:numPr>
        <w:jc w:val="both"/>
        <w:rPr>
          <w:rFonts w:asciiTheme="minorHAnsi" w:hAnsiTheme="minorHAnsi" w:cstheme="minorHAnsi"/>
          <w:i/>
          <w:iCs/>
          <w:lang w:val="en-US"/>
        </w:rPr>
      </w:pPr>
      <w:r w:rsidRPr="00D80C53">
        <w:rPr>
          <w:rFonts w:asciiTheme="minorHAnsi" w:hAnsiTheme="minorHAnsi" w:cstheme="minorHAnsi"/>
          <w:i/>
          <w:iCs/>
          <w:lang w:val="en-US"/>
        </w:rPr>
        <w:t>Metric 7 - The total number of market makers designated by the venue per type of financial instrument.</w:t>
      </w:r>
    </w:p>
    <w:p w14:paraId="30E8C63E" w14:textId="77777777" w:rsidR="00EA53FB" w:rsidRPr="000D2C3A" w:rsidRDefault="00EA53FB" w:rsidP="00EA53FB">
      <w:pPr>
        <w:pStyle w:val="ListParagraph"/>
        <w:jc w:val="both"/>
        <w:rPr>
          <w:rFonts w:asciiTheme="minorHAnsi" w:hAnsiTheme="minorHAnsi" w:cstheme="minorHAnsi"/>
          <w:lang w:val="en-US"/>
        </w:rPr>
      </w:pPr>
    </w:p>
    <w:p w14:paraId="6D09F8E2" w14:textId="77777777" w:rsidR="00EA53FB" w:rsidRPr="000D2C3A" w:rsidRDefault="00EA53FB" w:rsidP="00EA53FB">
      <w:pPr>
        <w:pStyle w:val="ListParagraph"/>
        <w:jc w:val="both"/>
        <w:rPr>
          <w:rFonts w:asciiTheme="minorHAnsi" w:hAnsiTheme="minorHAnsi" w:cstheme="minorHAnsi"/>
          <w:lang w:val="en-US"/>
        </w:rPr>
      </w:pPr>
      <w:r w:rsidRPr="000D2C3A">
        <w:rPr>
          <w:rFonts w:asciiTheme="minorHAnsi" w:hAnsiTheme="minorHAnsi" w:cstheme="minorHAnsi"/>
          <w:lang w:val="en-US"/>
        </w:rPr>
        <w:t xml:space="preserve">FIA EPTA agree with the proposed </w:t>
      </w:r>
      <w:proofErr w:type="spellStart"/>
      <w:r w:rsidRPr="000D2C3A">
        <w:rPr>
          <w:rFonts w:asciiTheme="minorHAnsi" w:hAnsiTheme="minorHAnsi" w:cstheme="minorHAnsi"/>
          <w:lang w:val="en-US"/>
        </w:rPr>
        <w:t>metic</w:t>
      </w:r>
      <w:proofErr w:type="spellEnd"/>
      <w:r w:rsidRPr="000D2C3A">
        <w:rPr>
          <w:rFonts w:asciiTheme="minorHAnsi" w:hAnsiTheme="minorHAnsi" w:cstheme="minorHAnsi"/>
          <w:lang w:val="en-US"/>
        </w:rPr>
        <w:t>.</w:t>
      </w:r>
    </w:p>
    <w:p w14:paraId="329DF76E" w14:textId="77777777" w:rsidR="00EA53FB" w:rsidRDefault="00EA53FB" w:rsidP="00EA53FB">
      <w:pPr>
        <w:rPr>
          <w:rFonts w:cs="Arial"/>
          <w:color w:val="7030A0"/>
          <w:szCs w:val="20"/>
        </w:rPr>
      </w:pPr>
    </w:p>
    <w:p w14:paraId="7129FE37" w14:textId="77777777" w:rsidR="00EA53FB" w:rsidRPr="00871DB3" w:rsidRDefault="00EA53FB" w:rsidP="00EA53FB">
      <w:pPr>
        <w:jc w:val="both"/>
        <w:rPr>
          <w:rFonts w:cs="Arial"/>
          <w:szCs w:val="20"/>
          <w:lang w:val="en-IE"/>
        </w:rPr>
      </w:pPr>
      <w:r w:rsidRPr="00871DB3">
        <w:rPr>
          <w:rFonts w:ascii="Calibri" w:hAnsi="Calibri" w:cs="Arial"/>
          <w:lang w:val="en-IE"/>
        </w:rPr>
        <w:t xml:space="preserve">FIA EPTA members would also like to highlight that under the existing </w:t>
      </w:r>
      <w:r>
        <w:rPr>
          <w:rFonts w:ascii="Calibri" w:hAnsi="Calibri" w:cs="Arial"/>
          <w:lang w:val="en-IE"/>
        </w:rPr>
        <w:t>rules</w:t>
      </w:r>
      <w:r w:rsidRPr="00871DB3">
        <w:rPr>
          <w:rFonts w:ascii="Calibri" w:hAnsi="Calibri" w:cs="Arial"/>
          <w:lang w:val="en-IE"/>
        </w:rPr>
        <w:t>, Article 7 of RTS 27 sets out information that execution venues that operate under a continuous auction order book, continuous quote driven trading system or other type of trading system are required to provide (in Tables 8 &amp; 9) and Article 8 of RTS 27 sets out information that request for quote execution venues are required to provide (in Table 9). This differentiation was provided as it was recognised that execution venues that do not operate these type of trading models, such as SIs that do not offer electronic trading capabilities, would be unable or not have this level of information. Given that metrics 3 – 7 relate specifically to execution venues that operate trading systems such as the above, FIA EPTA members would call for a recognition of this distinction</w:t>
      </w:r>
      <w:r w:rsidRPr="00871DB3">
        <w:rPr>
          <w:rFonts w:cs="Arial"/>
          <w:szCs w:val="20"/>
          <w:lang w:val="en-IE"/>
        </w:rPr>
        <w:t xml:space="preserve">. </w:t>
      </w:r>
    </w:p>
    <w:p w14:paraId="510D09DD" w14:textId="4D6E083F" w:rsidR="004258CF" w:rsidRPr="00A62CFD" w:rsidRDefault="004258CF" w:rsidP="00D25582">
      <w:pPr>
        <w:jc w:val="both"/>
        <w:rPr>
          <w:rFonts w:cs="Arial"/>
          <w:szCs w:val="20"/>
          <w:lang w:val="en-IE"/>
        </w:rPr>
      </w:pPr>
    </w:p>
    <w:permEnd w:id="2033745150"/>
    <w:p w14:paraId="7C403DB8"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&lt;ESMA_QUESTION_BEEX_3&gt;</w:t>
      </w:r>
    </w:p>
    <w:p w14:paraId="478CC543" w14:textId="77777777" w:rsidR="004258CF" w:rsidRPr="004258CF" w:rsidRDefault="004258CF" w:rsidP="004258CF">
      <w:pPr>
        <w:spacing w:after="160" w:line="256" w:lineRule="auto"/>
        <w:rPr>
          <w:rFonts w:ascii="Calibri" w:eastAsia="Calibri" w:hAnsi="Calibri"/>
          <w:sz w:val="22"/>
          <w:szCs w:val="22"/>
          <w:lang w:eastAsia="en-US"/>
        </w:rPr>
      </w:pPr>
    </w:p>
    <w:p w14:paraId="7E787A45" w14:textId="77777777" w:rsidR="004258CF" w:rsidRPr="004258CF" w:rsidRDefault="004258CF" w:rsidP="004258CF">
      <w:pPr>
        <w:numPr>
          <w:ilvl w:val="0"/>
          <w:numId w:val="36"/>
        </w:numPr>
        <w:spacing w:after="250" w:line="276" w:lineRule="auto"/>
        <w:contextualSpacing/>
        <w:jc w:val="both"/>
        <w:rPr>
          <w:rFonts w:cs="Arial"/>
          <w:b/>
          <w:szCs w:val="20"/>
          <w:lang w:val="en-US" w:eastAsia="en-GB"/>
        </w:rPr>
      </w:pPr>
      <w:r w:rsidRPr="004258CF">
        <w:rPr>
          <w:rFonts w:cs="Arial"/>
          <w:b/>
          <w:szCs w:val="20"/>
          <w:lang w:val="en-US" w:eastAsia="en-GB"/>
        </w:rPr>
        <w:t>: Have you observed good or bad practices of reporting by execution venues under the current RTS 27 that can be relevant for the elaboration of proposals to enhance access and user-friendliness of this information? Please provide specific examples if possible.</w:t>
      </w:r>
    </w:p>
    <w:p w14:paraId="6EF7AE96"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&lt;ESMA_QUESTION_BEEX_4&gt;</w:t>
      </w:r>
    </w:p>
    <w:p w14:paraId="2EF1A4B5" w14:textId="77777777" w:rsidR="004258CF" w:rsidRPr="004258CF" w:rsidRDefault="004258CF" w:rsidP="004258CF">
      <w:pPr>
        <w:spacing w:after="160" w:line="256" w:lineRule="auto"/>
        <w:rPr>
          <w:rFonts w:ascii="Calibri" w:eastAsia="Calibri" w:hAnsi="Calibri"/>
          <w:sz w:val="22"/>
          <w:szCs w:val="22"/>
          <w:lang w:eastAsia="en-US"/>
        </w:rPr>
      </w:pPr>
      <w:permStart w:id="1685268831" w:edGrp="everyone"/>
      <w:r w:rsidRPr="004258CF">
        <w:rPr>
          <w:rFonts w:ascii="Calibri" w:eastAsia="Calibri" w:hAnsi="Calibri"/>
          <w:sz w:val="22"/>
          <w:szCs w:val="22"/>
          <w:lang w:eastAsia="en-US"/>
        </w:rPr>
        <w:t>TYPE YOUR TEXT HERE</w:t>
      </w:r>
    </w:p>
    <w:permEnd w:id="1685268831"/>
    <w:p w14:paraId="0748831B"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&lt;ESMA_QUESTION_BEEX_4&gt;</w:t>
      </w:r>
    </w:p>
    <w:p w14:paraId="03DA6400" w14:textId="77777777" w:rsidR="004258CF" w:rsidRPr="004258CF" w:rsidRDefault="004258CF" w:rsidP="004258CF">
      <w:pPr>
        <w:spacing w:after="160" w:line="256" w:lineRule="auto"/>
        <w:rPr>
          <w:rFonts w:ascii="Calibri" w:eastAsia="Calibri" w:hAnsi="Calibri"/>
          <w:sz w:val="22"/>
          <w:szCs w:val="22"/>
          <w:lang w:eastAsia="en-US"/>
        </w:rPr>
      </w:pPr>
    </w:p>
    <w:p w14:paraId="6C3B0886" w14:textId="77777777" w:rsidR="004258CF" w:rsidRPr="004258CF" w:rsidRDefault="004258CF" w:rsidP="004258CF">
      <w:pPr>
        <w:numPr>
          <w:ilvl w:val="0"/>
          <w:numId w:val="36"/>
        </w:numPr>
        <w:spacing w:after="250" w:line="276" w:lineRule="auto"/>
        <w:contextualSpacing/>
        <w:jc w:val="both"/>
        <w:rPr>
          <w:rFonts w:cs="Arial"/>
          <w:b/>
          <w:szCs w:val="20"/>
          <w:lang w:val="en-US" w:eastAsia="en-GB"/>
        </w:rPr>
      </w:pPr>
      <w:r w:rsidRPr="004258CF">
        <w:rPr>
          <w:rFonts w:cs="Arial"/>
          <w:b/>
          <w:szCs w:val="20"/>
          <w:lang w:val="en-US" w:eastAsia="en-GB"/>
        </w:rPr>
        <w:t>: Have you observed good or bad practices of reporting by investment firms under the current RTS 28 that can be relevant for the elaboration of proposals to enhance access and user-friendliness of this information? Please provide specific examples if possible.</w:t>
      </w:r>
    </w:p>
    <w:p w14:paraId="2FC2E32F"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&lt;ESMA_QUESTION_BEEX_5&gt;</w:t>
      </w:r>
    </w:p>
    <w:p w14:paraId="62924821" w14:textId="77777777" w:rsidR="004258CF" w:rsidRPr="004258CF" w:rsidRDefault="004258CF" w:rsidP="004258CF">
      <w:pPr>
        <w:spacing w:after="160" w:line="256" w:lineRule="auto"/>
        <w:rPr>
          <w:rFonts w:ascii="Calibri" w:eastAsia="Calibri" w:hAnsi="Calibri"/>
          <w:sz w:val="22"/>
          <w:szCs w:val="22"/>
          <w:lang w:eastAsia="en-US"/>
        </w:rPr>
      </w:pPr>
      <w:permStart w:id="1373658977" w:edGrp="everyone"/>
      <w:r w:rsidRPr="004258CF">
        <w:rPr>
          <w:rFonts w:ascii="Calibri" w:eastAsia="Calibri" w:hAnsi="Calibri"/>
          <w:sz w:val="22"/>
          <w:szCs w:val="22"/>
          <w:lang w:eastAsia="en-US"/>
        </w:rPr>
        <w:t>TYPE YOUR TEXT HERE</w:t>
      </w:r>
    </w:p>
    <w:permEnd w:id="1373658977"/>
    <w:p w14:paraId="20E613D3"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&lt;ESMA_QUESTION_BEEX_5&gt;</w:t>
      </w:r>
    </w:p>
    <w:p w14:paraId="35934677" w14:textId="77777777" w:rsidR="004258CF" w:rsidRPr="004258CF" w:rsidRDefault="004258CF" w:rsidP="004258CF">
      <w:pPr>
        <w:spacing w:after="160" w:line="256" w:lineRule="auto"/>
        <w:rPr>
          <w:rFonts w:ascii="Calibri" w:eastAsia="Calibri" w:hAnsi="Calibri"/>
          <w:sz w:val="22"/>
          <w:szCs w:val="22"/>
          <w:lang w:eastAsia="en-US"/>
        </w:rPr>
      </w:pPr>
    </w:p>
    <w:p w14:paraId="6E0321A3" w14:textId="77777777" w:rsidR="004258CF" w:rsidRPr="004258CF" w:rsidRDefault="004258CF" w:rsidP="004258CF">
      <w:pPr>
        <w:numPr>
          <w:ilvl w:val="0"/>
          <w:numId w:val="36"/>
        </w:numPr>
        <w:spacing w:after="250" w:line="276" w:lineRule="auto"/>
        <w:contextualSpacing/>
        <w:jc w:val="both"/>
        <w:rPr>
          <w:rFonts w:cs="Arial"/>
          <w:b/>
          <w:szCs w:val="20"/>
          <w:lang w:val="en-US" w:eastAsia="en-GB"/>
        </w:rPr>
      </w:pPr>
      <w:r w:rsidRPr="004258CF">
        <w:rPr>
          <w:rFonts w:cs="Arial"/>
          <w:b/>
          <w:szCs w:val="20"/>
          <w:lang w:val="en-US" w:eastAsia="en-GB"/>
        </w:rPr>
        <w:lastRenderedPageBreak/>
        <w:t>: Do you agree with the classification for reporting proposed in Annex I of the possible new RTS 28, especially with regard to the suggested methodology for the reporting on equity instruments? If not, what alternative categorisations would you propose?</w:t>
      </w:r>
    </w:p>
    <w:p w14:paraId="092E6553"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&lt;ESMA_QUESTION_BEEX_6&gt;</w:t>
      </w:r>
    </w:p>
    <w:p w14:paraId="53F1E569" w14:textId="77777777" w:rsidR="004258CF" w:rsidRPr="004258CF" w:rsidRDefault="004258CF" w:rsidP="004258CF">
      <w:pPr>
        <w:spacing w:after="160" w:line="256" w:lineRule="auto"/>
        <w:rPr>
          <w:rFonts w:ascii="Calibri" w:eastAsia="Calibri" w:hAnsi="Calibri"/>
          <w:sz w:val="22"/>
          <w:szCs w:val="22"/>
          <w:lang w:eastAsia="en-US"/>
        </w:rPr>
      </w:pPr>
      <w:permStart w:id="1906529081" w:edGrp="everyone"/>
      <w:r w:rsidRPr="004258CF">
        <w:rPr>
          <w:rFonts w:ascii="Calibri" w:eastAsia="Calibri" w:hAnsi="Calibri"/>
          <w:sz w:val="22"/>
          <w:szCs w:val="22"/>
          <w:lang w:eastAsia="en-US"/>
        </w:rPr>
        <w:t>TYPE YOUR TEXT HERE</w:t>
      </w:r>
    </w:p>
    <w:permEnd w:id="1906529081"/>
    <w:p w14:paraId="01FAD932"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&lt;ESMA_QUESTION_BEEX_6&gt;</w:t>
      </w:r>
    </w:p>
    <w:p w14:paraId="0F6B03CC" w14:textId="77777777" w:rsidR="004258CF" w:rsidRPr="004258CF" w:rsidRDefault="004258CF" w:rsidP="004258CF">
      <w:pPr>
        <w:spacing w:after="160" w:line="256" w:lineRule="auto"/>
        <w:rPr>
          <w:rFonts w:ascii="Calibri" w:eastAsia="Calibri" w:hAnsi="Calibri"/>
          <w:sz w:val="22"/>
          <w:szCs w:val="22"/>
          <w:lang w:eastAsia="en-US"/>
        </w:rPr>
      </w:pPr>
    </w:p>
    <w:p w14:paraId="177D582B" w14:textId="77777777" w:rsidR="004258CF" w:rsidRPr="004258CF" w:rsidRDefault="004258CF" w:rsidP="004258CF">
      <w:pPr>
        <w:numPr>
          <w:ilvl w:val="0"/>
          <w:numId w:val="36"/>
        </w:numPr>
        <w:spacing w:after="250" w:line="276" w:lineRule="auto"/>
        <w:contextualSpacing/>
        <w:jc w:val="both"/>
        <w:rPr>
          <w:rFonts w:cs="Arial"/>
          <w:b/>
          <w:szCs w:val="20"/>
          <w:lang w:val="en-US" w:eastAsia="en-GB"/>
        </w:rPr>
      </w:pPr>
      <w:r w:rsidRPr="004258CF">
        <w:rPr>
          <w:rFonts w:cs="Arial"/>
          <w:b/>
          <w:szCs w:val="20"/>
          <w:lang w:val="en-US" w:eastAsia="en-GB"/>
        </w:rPr>
        <w:t>: Do you agree with the proposals for a possible review of RTS 28?</w:t>
      </w:r>
    </w:p>
    <w:p w14:paraId="3EAC36CC"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&lt;ESMA_QUESTION_BEEX_7&gt;</w:t>
      </w:r>
    </w:p>
    <w:p w14:paraId="7B34AA19" w14:textId="77777777" w:rsidR="00E40FD5" w:rsidRDefault="00E40FD5" w:rsidP="00E40FD5">
      <w:pPr>
        <w:shd w:val="clear" w:color="auto" w:fill="FFFFFF"/>
        <w:contextualSpacing/>
        <w:jc w:val="both"/>
        <w:rPr>
          <w:rFonts w:cstheme="minorHAnsi"/>
          <w:lang w:val="en-US"/>
        </w:rPr>
      </w:pPr>
      <w:permStart w:id="297553631" w:edGrp="everyone"/>
      <w:r w:rsidRPr="000D2C3A">
        <w:rPr>
          <w:rFonts w:cstheme="minorHAnsi"/>
          <w:lang w:val="en-US"/>
        </w:rPr>
        <w:t xml:space="preserve">FIA EPTA welcomes the proposed streamlining of the reports and requiring that they are published in a machine-readable format. </w:t>
      </w:r>
    </w:p>
    <w:p w14:paraId="2E6E712D" w14:textId="77777777" w:rsidR="00E40FD5" w:rsidRPr="000D2C3A" w:rsidRDefault="00E40FD5" w:rsidP="00E40FD5">
      <w:pPr>
        <w:shd w:val="clear" w:color="auto" w:fill="FFFFFF"/>
        <w:contextualSpacing/>
        <w:jc w:val="both"/>
        <w:rPr>
          <w:rFonts w:cstheme="minorHAnsi"/>
          <w:spacing w:val="-1"/>
          <w:lang w:val="en-US"/>
        </w:rPr>
      </w:pPr>
    </w:p>
    <w:p w14:paraId="5DF89AFF" w14:textId="77777777" w:rsidR="00E40FD5" w:rsidRPr="000D2C3A" w:rsidRDefault="00E40FD5" w:rsidP="00E40FD5">
      <w:pPr>
        <w:shd w:val="clear" w:color="auto" w:fill="FFFFFF"/>
        <w:contextualSpacing/>
        <w:jc w:val="both"/>
        <w:rPr>
          <w:rFonts w:cstheme="minorHAnsi"/>
          <w:lang w:val="en-US"/>
        </w:rPr>
      </w:pPr>
      <w:r w:rsidRPr="000D2C3A">
        <w:rPr>
          <w:rFonts w:cstheme="minorHAnsi"/>
          <w:spacing w:val="-1"/>
          <w:lang w:val="en-US"/>
        </w:rPr>
        <w:t>Requiring visibility on</w:t>
      </w:r>
      <w:r w:rsidRPr="000D2C3A">
        <w:rPr>
          <w:rFonts w:cstheme="minorHAnsi"/>
          <w:lang w:val="en-US"/>
        </w:rPr>
        <w:t xml:space="preserve"> best execution information where orders were not executed by firms for clients </w:t>
      </w:r>
      <w:proofErr w:type="gramStart"/>
      <w:r w:rsidRPr="000D2C3A">
        <w:rPr>
          <w:rFonts w:cstheme="minorHAnsi"/>
          <w:lang w:val="en-US"/>
        </w:rPr>
        <w:t>directly, but</w:t>
      </w:r>
      <w:proofErr w:type="gramEnd"/>
      <w:r w:rsidRPr="000D2C3A">
        <w:rPr>
          <w:rFonts w:cstheme="minorHAnsi"/>
          <w:lang w:val="en-US"/>
        </w:rPr>
        <w:t xml:space="preserve"> routed to third parties. This would address a significant information gap in the current RTS 28 reports, which only show the next step in the chain (</w:t>
      </w:r>
      <w:proofErr w:type="gramStart"/>
      <w:r w:rsidRPr="000D2C3A">
        <w:rPr>
          <w:rFonts w:cstheme="minorHAnsi"/>
          <w:lang w:val="en-US"/>
        </w:rPr>
        <w:t>e.g.</w:t>
      </w:r>
      <w:proofErr w:type="gramEnd"/>
      <w:r w:rsidRPr="000D2C3A">
        <w:rPr>
          <w:rFonts w:cstheme="minorHAnsi"/>
          <w:lang w:val="en-US"/>
        </w:rPr>
        <w:t xml:space="preserve"> which broker flow is passed to, not where that broker ends up executing). Information on the competitiveness of the venue where flow ends up being traded would provide a much clearer picture on execution quality.  </w:t>
      </w:r>
    </w:p>
    <w:p w14:paraId="255F05B3" w14:textId="77777777" w:rsidR="00E40FD5" w:rsidRDefault="00E40FD5" w:rsidP="00E40FD5">
      <w:pPr>
        <w:shd w:val="clear" w:color="auto" w:fill="FFFFFF"/>
        <w:contextualSpacing/>
        <w:jc w:val="both"/>
        <w:rPr>
          <w:rFonts w:cstheme="minorHAnsi"/>
          <w:lang w:val="en-US"/>
        </w:rPr>
      </w:pPr>
    </w:p>
    <w:p w14:paraId="496A6E6E" w14:textId="77777777" w:rsidR="00E40FD5" w:rsidRPr="000D2C3A" w:rsidRDefault="00E40FD5" w:rsidP="00E40FD5">
      <w:pPr>
        <w:shd w:val="clear" w:color="auto" w:fill="FFFFFF"/>
        <w:contextualSpacing/>
        <w:jc w:val="both"/>
        <w:rPr>
          <w:rFonts w:cstheme="minorHAnsi"/>
          <w:lang w:val="en-US"/>
        </w:rPr>
      </w:pPr>
      <w:r w:rsidRPr="000D2C3A">
        <w:rPr>
          <w:rFonts w:cstheme="minorHAnsi"/>
          <w:lang w:val="en-US"/>
        </w:rPr>
        <w:t xml:space="preserve">We also strongly support the addition of disclosure obligations </w:t>
      </w:r>
      <w:proofErr w:type="gramStart"/>
      <w:r w:rsidRPr="000D2C3A">
        <w:rPr>
          <w:rFonts w:cstheme="minorHAnsi"/>
          <w:lang w:val="en-US"/>
        </w:rPr>
        <w:t>with regard to</w:t>
      </w:r>
      <w:proofErr w:type="gramEnd"/>
      <w:r w:rsidRPr="000D2C3A">
        <w:rPr>
          <w:rFonts w:cstheme="minorHAnsi"/>
          <w:lang w:val="en-US"/>
        </w:rPr>
        <w:t xml:space="preserve"> payment for order flow information or any other monetary or non-monetary benefits for each venue. </w:t>
      </w:r>
    </w:p>
    <w:p w14:paraId="131B59F7" w14:textId="77777777" w:rsidR="00E40FD5" w:rsidRDefault="00E40FD5" w:rsidP="00E40FD5">
      <w:pPr>
        <w:shd w:val="clear" w:color="auto" w:fill="FFFFFF"/>
        <w:contextualSpacing/>
        <w:jc w:val="both"/>
        <w:rPr>
          <w:rFonts w:cstheme="minorHAnsi"/>
          <w:lang w:val="en-US"/>
        </w:rPr>
      </w:pPr>
    </w:p>
    <w:p w14:paraId="7E2C03CD" w14:textId="423A0AFF" w:rsidR="00F24EEB" w:rsidRDefault="00E40FD5" w:rsidP="00F24EEB">
      <w:pPr>
        <w:shd w:val="clear" w:color="auto" w:fill="FFFFFF"/>
        <w:contextualSpacing/>
        <w:jc w:val="both"/>
        <w:rPr>
          <w:rFonts w:cstheme="minorHAnsi"/>
          <w:lang w:val="en-US"/>
        </w:rPr>
      </w:pPr>
      <w:proofErr w:type="gramStart"/>
      <w:r w:rsidRPr="000D2C3A">
        <w:rPr>
          <w:rFonts w:cstheme="minorHAnsi"/>
          <w:lang w:val="en-US"/>
        </w:rPr>
        <w:t>Finally</w:t>
      </w:r>
      <w:proofErr w:type="gramEnd"/>
      <w:r w:rsidRPr="000D2C3A">
        <w:rPr>
          <w:rFonts w:cstheme="minorHAnsi"/>
          <w:lang w:val="en-US"/>
        </w:rPr>
        <w:t xml:space="preserve"> we would encourage increasing the frequency of the RTS 28 reports and align this with the reporting interval for RTS 27 reports. We would also encourage collecting RTS 27 reports in a central and publicly available register.</w:t>
      </w:r>
    </w:p>
    <w:permEnd w:id="297553631"/>
    <w:p w14:paraId="0F71BB01"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&lt;ESMA_QUESTION_BEEX_7&gt;</w:t>
      </w:r>
    </w:p>
    <w:p w14:paraId="191FCAA4" w14:textId="77777777" w:rsidR="004258CF" w:rsidRPr="004258CF" w:rsidRDefault="004258CF" w:rsidP="004258CF">
      <w:pPr>
        <w:spacing w:after="160" w:line="256" w:lineRule="auto"/>
        <w:rPr>
          <w:rFonts w:ascii="Calibri" w:eastAsia="Calibri" w:hAnsi="Calibri"/>
          <w:sz w:val="22"/>
          <w:szCs w:val="22"/>
          <w:lang w:eastAsia="en-US"/>
        </w:rPr>
      </w:pPr>
    </w:p>
    <w:p w14:paraId="73ADAEAC" w14:textId="77777777" w:rsidR="004258CF" w:rsidRPr="004258CF" w:rsidRDefault="004258CF" w:rsidP="004258CF">
      <w:pPr>
        <w:numPr>
          <w:ilvl w:val="0"/>
          <w:numId w:val="36"/>
        </w:numPr>
        <w:spacing w:after="250" w:line="276" w:lineRule="auto"/>
        <w:contextualSpacing/>
        <w:jc w:val="both"/>
        <w:rPr>
          <w:rFonts w:cs="Arial"/>
          <w:b/>
          <w:szCs w:val="20"/>
          <w:lang w:val="en-US" w:eastAsia="en-GB"/>
        </w:rPr>
      </w:pPr>
      <w:r w:rsidRPr="004258CF">
        <w:rPr>
          <w:rFonts w:cs="Arial"/>
          <w:b/>
          <w:szCs w:val="20"/>
          <w:lang w:val="en-US" w:eastAsia="en-GB"/>
        </w:rPr>
        <w:t>: Do you agree with the cost benefit analysis as it has been described in Annex II?</w:t>
      </w:r>
    </w:p>
    <w:p w14:paraId="6912E60E"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&lt;ESMA_QUESTION_BEEX_8&gt;</w:t>
      </w:r>
    </w:p>
    <w:p w14:paraId="1510A4BE" w14:textId="77777777" w:rsidR="004258CF" w:rsidRPr="004258CF" w:rsidRDefault="004258CF" w:rsidP="004258CF">
      <w:pPr>
        <w:spacing w:after="160" w:line="256" w:lineRule="auto"/>
        <w:rPr>
          <w:rFonts w:ascii="Calibri" w:eastAsia="Calibri" w:hAnsi="Calibri"/>
          <w:sz w:val="22"/>
          <w:szCs w:val="22"/>
          <w:lang w:eastAsia="en-US"/>
        </w:rPr>
      </w:pPr>
      <w:permStart w:id="1132928363" w:edGrp="everyone"/>
      <w:r w:rsidRPr="004258CF">
        <w:rPr>
          <w:rFonts w:ascii="Calibri" w:eastAsia="Calibri" w:hAnsi="Calibri"/>
          <w:sz w:val="22"/>
          <w:szCs w:val="22"/>
          <w:lang w:eastAsia="en-US"/>
        </w:rPr>
        <w:t>TYPE YOUR TEXT HERE</w:t>
      </w:r>
    </w:p>
    <w:permEnd w:id="1132928363"/>
    <w:p w14:paraId="3A8CD7F4"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&lt;ESMA_QUESTION_BEEX_8&gt;</w:t>
      </w:r>
    </w:p>
    <w:p w14:paraId="484577B1" w14:textId="77777777" w:rsidR="004258CF" w:rsidRPr="004258CF" w:rsidRDefault="004258CF" w:rsidP="004258CF">
      <w:pPr>
        <w:spacing w:after="160" w:line="256" w:lineRule="auto"/>
        <w:rPr>
          <w:rFonts w:ascii="Calibri" w:eastAsia="Calibri" w:hAnsi="Calibri"/>
          <w:sz w:val="22"/>
          <w:szCs w:val="22"/>
          <w:lang w:eastAsia="en-US"/>
        </w:rPr>
      </w:pPr>
    </w:p>
    <w:p w14:paraId="2C0DA927" w14:textId="77777777" w:rsidR="004258CF" w:rsidRPr="004258CF" w:rsidRDefault="004258CF" w:rsidP="004258CF">
      <w:pPr>
        <w:numPr>
          <w:ilvl w:val="0"/>
          <w:numId w:val="36"/>
        </w:numPr>
        <w:spacing w:after="250" w:line="276" w:lineRule="auto"/>
        <w:contextualSpacing/>
        <w:jc w:val="both"/>
        <w:rPr>
          <w:rFonts w:cs="Arial"/>
          <w:b/>
          <w:szCs w:val="20"/>
          <w:lang w:val="en-US" w:eastAsia="en-GB"/>
        </w:rPr>
      </w:pPr>
      <w:r w:rsidRPr="004258CF">
        <w:rPr>
          <w:rFonts w:cs="Arial"/>
          <w:b/>
          <w:szCs w:val="20"/>
          <w:lang w:val="en-US" w:eastAsia="en-GB"/>
        </w:rPr>
        <w:t>: Are there any additional comments that you would like to raise and/or information that you would like to provide?</w:t>
      </w:r>
    </w:p>
    <w:p w14:paraId="231F0D91"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&lt;ESMA_QUESTION_BEEX_9&gt;</w:t>
      </w:r>
    </w:p>
    <w:p w14:paraId="1196AA0F" w14:textId="77777777" w:rsidR="006C6660" w:rsidRPr="00871DB3" w:rsidRDefault="006C6660" w:rsidP="006C6660">
      <w:pPr>
        <w:jc w:val="both"/>
        <w:rPr>
          <w:rFonts w:ascii="Calibri" w:hAnsi="Calibri" w:cs="Arial"/>
          <w:sz w:val="24"/>
          <w:u w:val="single"/>
        </w:rPr>
      </w:pPr>
      <w:permStart w:id="686839684" w:edGrp="everyone"/>
      <w:r w:rsidRPr="00871DB3">
        <w:rPr>
          <w:rFonts w:ascii="Calibri" w:hAnsi="Calibri" w:cs="Arial"/>
          <w:sz w:val="24"/>
          <w:u w:val="single"/>
        </w:rPr>
        <w:t>Feedback on Annex III - A) BEST EXECUTION – POTENTIAL REPORTING REGIME FOR</w:t>
      </w:r>
      <w:r>
        <w:rPr>
          <w:rFonts w:ascii="Calibri" w:hAnsi="Calibri" w:cs="Arial"/>
          <w:sz w:val="24"/>
          <w:u w:val="single"/>
          <w:lang w:val="en-IE"/>
        </w:rPr>
        <w:t xml:space="preserve"> </w:t>
      </w:r>
      <w:r w:rsidRPr="00871DB3">
        <w:rPr>
          <w:rFonts w:ascii="Calibri" w:hAnsi="Calibri" w:cs="Arial"/>
          <w:sz w:val="24"/>
          <w:u w:val="single"/>
        </w:rPr>
        <w:t>EXECUTION VENUES</w:t>
      </w:r>
    </w:p>
    <w:p w14:paraId="5C06B0A7" w14:textId="77777777" w:rsidR="006C6660" w:rsidRPr="00871DB3" w:rsidRDefault="006C6660" w:rsidP="006C6660">
      <w:pPr>
        <w:pStyle w:val="ListParagraph"/>
        <w:numPr>
          <w:ilvl w:val="0"/>
          <w:numId w:val="41"/>
        </w:numPr>
        <w:contextualSpacing w:val="0"/>
        <w:jc w:val="both"/>
        <w:rPr>
          <w:rFonts w:cs="Arial"/>
          <w:b/>
          <w:bCs/>
        </w:rPr>
      </w:pPr>
      <w:r w:rsidRPr="00871DB3">
        <w:rPr>
          <w:rFonts w:cs="Arial"/>
          <w:b/>
          <w:bCs/>
        </w:rPr>
        <w:t xml:space="preserve">Table 2 Field 12, 13, 14 and 15 </w:t>
      </w:r>
    </w:p>
    <w:p w14:paraId="07B3E125" w14:textId="77777777" w:rsidR="006C6660" w:rsidRDefault="006C6660" w:rsidP="006C6660">
      <w:pPr>
        <w:ind w:left="720"/>
        <w:jc w:val="both"/>
        <w:rPr>
          <w:rFonts w:ascii="Calibri" w:hAnsi="Calibri" w:cs="Arial"/>
          <w:lang w:val="en-IE"/>
        </w:rPr>
      </w:pPr>
      <w:r w:rsidRPr="00871DB3">
        <w:rPr>
          <w:rFonts w:ascii="Calibri" w:hAnsi="Calibri" w:cs="Arial"/>
          <w:lang w:val="en-IE"/>
        </w:rPr>
        <w:t xml:space="preserve">FIA EPTA would like to point out that </w:t>
      </w:r>
      <w:proofErr w:type="spellStart"/>
      <w:r w:rsidRPr="00871DB3">
        <w:rPr>
          <w:rFonts w:ascii="Calibri" w:hAnsi="Calibri" w:cs="Arial"/>
          <w:lang w:val="en-IE"/>
        </w:rPr>
        <w:t>i</w:t>
      </w:r>
      <w:proofErr w:type="spellEnd"/>
      <w:r w:rsidRPr="00871DB3">
        <w:rPr>
          <w:rFonts w:ascii="Calibri" w:hAnsi="Calibri" w:cs="Arial"/>
        </w:rPr>
        <w:t>t is stated that these fields are to be expressed in EUR</w:t>
      </w:r>
      <w:r w:rsidRPr="00871DB3">
        <w:rPr>
          <w:rFonts w:ascii="Calibri" w:hAnsi="Calibri" w:cs="Arial"/>
          <w:lang w:val="en-IE"/>
        </w:rPr>
        <w:t xml:space="preserve">. </w:t>
      </w:r>
      <w:proofErr w:type="gramStart"/>
      <w:r w:rsidRPr="00871DB3">
        <w:rPr>
          <w:rFonts w:ascii="Calibri" w:hAnsi="Calibri" w:cs="Arial"/>
          <w:lang w:val="en-IE"/>
        </w:rPr>
        <w:t>However</w:t>
      </w:r>
      <w:proofErr w:type="gramEnd"/>
      <w:r w:rsidRPr="00871DB3">
        <w:rPr>
          <w:rFonts w:ascii="Calibri" w:hAnsi="Calibri" w:cs="Arial"/>
          <w:lang w:val="en-IE"/>
        </w:rPr>
        <w:t xml:space="preserve"> no FX rate is detailed.</w:t>
      </w:r>
      <w:r w:rsidRPr="00871DB3">
        <w:rPr>
          <w:rFonts w:ascii="Calibri" w:hAnsi="Calibri" w:cs="Arial"/>
        </w:rPr>
        <w:t xml:space="preserve"> </w:t>
      </w:r>
      <w:r w:rsidRPr="00364510">
        <w:rPr>
          <w:rFonts w:ascii="Calibri" w:hAnsi="Calibri" w:cs="Arial"/>
        </w:rPr>
        <w:t xml:space="preserve">We </w:t>
      </w:r>
      <w:r>
        <w:rPr>
          <w:rFonts w:ascii="Calibri" w:hAnsi="Calibri" w:cs="Arial"/>
        </w:rPr>
        <w:t>would ask for ESMA to clarify w</w:t>
      </w:r>
      <w:r w:rsidRPr="00871DB3">
        <w:rPr>
          <w:rFonts w:ascii="Calibri" w:hAnsi="Calibri" w:cs="Arial"/>
        </w:rPr>
        <w:t>hat FX rate should be used to convert any non-Euro values to EUR (</w:t>
      </w:r>
      <w:proofErr w:type="gramStart"/>
      <w:r w:rsidRPr="00871DB3">
        <w:rPr>
          <w:rFonts w:ascii="Calibri" w:hAnsi="Calibri" w:cs="Arial"/>
        </w:rPr>
        <w:t>e.g.</w:t>
      </w:r>
      <w:proofErr w:type="gramEnd"/>
      <w:r w:rsidRPr="00871DB3">
        <w:rPr>
          <w:rFonts w:ascii="Calibri" w:hAnsi="Calibri" w:cs="Arial"/>
        </w:rPr>
        <w:t xml:space="preserve"> closing price prior to date file is generated / re-generated)</w:t>
      </w:r>
      <w:r>
        <w:rPr>
          <w:rFonts w:ascii="Calibri" w:hAnsi="Calibri" w:cs="Arial"/>
          <w:lang w:val="en-IE"/>
        </w:rPr>
        <w:t>.</w:t>
      </w:r>
    </w:p>
    <w:p w14:paraId="0B36EEB7" w14:textId="77777777" w:rsidR="006C6660" w:rsidRPr="00871DB3" w:rsidRDefault="006C6660" w:rsidP="006C6660">
      <w:pPr>
        <w:ind w:left="720"/>
        <w:jc w:val="both"/>
        <w:rPr>
          <w:rFonts w:ascii="Calibri" w:hAnsi="Calibri" w:cs="Arial"/>
          <w:lang w:val="en-IE"/>
        </w:rPr>
      </w:pPr>
    </w:p>
    <w:p w14:paraId="1AD10031" w14:textId="77777777" w:rsidR="006C6660" w:rsidRPr="00871DB3" w:rsidRDefault="006C6660" w:rsidP="006C6660">
      <w:pPr>
        <w:pStyle w:val="ListParagraph"/>
        <w:numPr>
          <w:ilvl w:val="0"/>
          <w:numId w:val="41"/>
        </w:numPr>
        <w:contextualSpacing w:val="0"/>
        <w:jc w:val="both"/>
        <w:rPr>
          <w:rFonts w:cs="Arial"/>
          <w:b/>
          <w:bCs/>
          <w:lang w:val="en-IE"/>
        </w:rPr>
      </w:pPr>
      <w:r w:rsidRPr="00871DB3">
        <w:rPr>
          <w:rFonts w:cs="Arial"/>
          <w:b/>
          <w:bCs/>
        </w:rPr>
        <w:lastRenderedPageBreak/>
        <w:t>Table 2 Field 16 Description of costs: Provision of a link to a website or other source, where descriptive information on nature and level of costs applied by the execution venue is available</w:t>
      </w:r>
    </w:p>
    <w:p w14:paraId="5F0110AB" w14:textId="77777777" w:rsidR="006C6660" w:rsidRDefault="006C6660" w:rsidP="006C6660">
      <w:pPr>
        <w:autoSpaceDE w:val="0"/>
        <w:autoSpaceDN w:val="0"/>
        <w:ind w:left="720"/>
        <w:jc w:val="both"/>
        <w:rPr>
          <w:rFonts w:ascii="Calibri" w:hAnsi="Calibri" w:cs="Arial"/>
          <w:lang w:val="en-IE"/>
        </w:rPr>
      </w:pPr>
      <w:r w:rsidRPr="00364510">
        <w:rPr>
          <w:rFonts w:ascii="Calibri" w:hAnsi="Calibri" w:cs="Arial"/>
        </w:rPr>
        <w:t>FI</w:t>
      </w:r>
      <w:r>
        <w:rPr>
          <w:rFonts w:ascii="Calibri" w:hAnsi="Calibri" w:cs="Arial"/>
        </w:rPr>
        <w:t>A EPTA notes that t</w:t>
      </w:r>
      <w:r w:rsidRPr="00871DB3">
        <w:rPr>
          <w:rFonts w:ascii="Calibri" w:hAnsi="Calibri" w:cs="Arial"/>
        </w:rPr>
        <w:t>he size of this field is only 50 alpha numeric characters which is likely too small for a website link for most execution venues</w:t>
      </w:r>
      <w:r>
        <w:rPr>
          <w:rFonts w:ascii="Calibri" w:hAnsi="Calibri" w:cs="Arial"/>
          <w:lang w:val="en-IE"/>
        </w:rPr>
        <w:t>.</w:t>
      </w:r>
    </w:p>
    <w:p w14:paraId="5E97382D" w14:textId="77777777" w:rsidR="006C6660" w:rsidRDefault="006C6660" w:rsidP="006C6660">
      <w:pPr>
        <w:autoSpaceDE w:val="0"/>
        <w:autoSpaceDN w:val="0"/>
        <w:ind w:left="720"/>
        <w:jc w:val="both"/>
        <w:rPr>
          <w:rFonts w:ascii="Calibri" w:hAnsi="Calibri" w:cs="Arial"/>
          <w:lang w:val="en-IE"/>
        </w:rPr>
      </w:pPr>
    </w:p>
    <w:p w14:paraId="46E96B27" w14:textId="77777777" w:rsidR="006C6660" w:rsidRPr="00871DB3" w:rsidRDefault="006C6660" w:rsidP="006C6660">
      <w:pPr>
        <w:pStyle w:val="ListParagraph"/>
        <w:numPr>
          <w:ilvl w:val="0"/>
          <w:numId w:val="41"/>
        </w:numPr>
        <w:autoSpaceDE w:val="0"/>
        <w:autoSpaceDN w:val="0"/>
        <w:contextualSpacing w:val="0"/>
        <w:jc w:val="both"/>
        <w:rPr>
          <w:rFonts w:cs="Arial"/>
          <w:b/>
          <w:bCs/>
          <w:lang w:val="en-IE"/>
        </w:rPr>
      </w:pPr>
      <w:r w:rsidRPr="00871DB3">
        <w:rPr>
          <w:rFonts w:cs="Arial"/>
          <w:b/>
          <w:bCs/>
        </w:rPr>
        <w:t xml:space="preserve">Table 2 Field 17 Speed of execution: Median time elapsed between an aggressive order or quote acceptance being received by the execution venue and the subsequent total or partial execution, </w:t>
      </w:r>
      <w:r w:rsidRPr="00871DB3">
        <w:rPr>
          <w:rFonts w:cs="Arial"/>
          <w:b/>
          <w:bCs/>
          <w:u w:val="single"/>
        </w:rPr>
        <w:t>expressed in milliseconds for continuous auction order books, while for other trading systems it is appropriate to use larger units of time.</w:t>
      </w:r>
    </w:p>
    <w:p w14:paraId="03C09AC0" w14:textId="77777777" w:rsidR="006C6660" w:rsidRDefault="006C6660" w:rsidP="006C6660">
      <w:pPr>
        <w:pStyle w:val="ListParagraph"/>
        <w:autoSpaceDE w:val="0"/>
        <w:autoSpaceDN w:val="0"/>
        <w:jc w:val="both"/>
        <w:rPr>
          <w:rFonts w:cs="Arial"/>
        </w:rPr>
      </w:pPr>
    </w:p>
    <w:p w14:paraId="0EFD7A97" w14:textId="77777777" w:rsidR="006C6660" w:rsidRPr="005A3ECE" w:rsidRDefault="006C6660" w:rsidP="006C6660">
      <w:pPr>
        <w:pStyle w:val="ListParagraph"/>
        <w:autoSpaceDE w:val="0"/>
        <w:autoSpaceDN w:val="0"/>
        <w:jc w:val="both"/>
        <w:rPr>
          <w:rFonts w:cs="Arial"/>
        </w:rPr>
      </w:pPr>
      <w:r w:rsidRPr="00016AF2">
        <w:rPr>
          <w:rFonts w:cs="Arial"/>
        </w:rPr>
        <w:t>FI</w:t>
      </w:r>
      <w:r>
        <w:rPr>
          <w:rFonts w:cs="Arial"/>
        </w:rPr>
        <w:t>A EPTA notes that</w:t>
      </w:r>
      <w:r w:rsidRPr="00583A1B">
        <w:rPr>
          <w:rFonts w:cs="Arial"/>
        </w:rPr>
        <w:t xml:space="preserve"> units of time can be provided in Field 17</w:t>
      </w:r>
      <w:r w:rsidRPr="00016AF2">
        <w:rPr>
          <w:rFonts w:cs="Arial"/>
        </w:rPr>
        <w:t>.</w:t>
      </w:r>
      <w:r>
        <w:rPr>
          <w:rFonts w:cs="Arial"/>
        </w:rPr>
        <w:t xml:space="preserve"> However, </w:t>
      </w:r>
      <w:r w:rsidRPr="00583A1B">
        <w:rPr>
          <w:rFonts w:cs="Arial"/>
        </w:rPr>
        <w:t xml:space="preserve">the format of the field only allows for integer (positive numeric value), </w:t>
      </w:r>
      <w:r w:rsidRPr="005A3ECE">
        <w:rPr>
          <w:rFonts w:cs="Arial"/>
        </w:rPr>
        <w:t>wh</w:t>
      </w:r>
      <w:r>
        <w:rPr>
          <w:rFonts w:cs="Arial"/>
        </w:rPr>
        <w:t xml:space="preserve">ile it is unclear </w:t>
      </w:r>
      <w:r w:rsidRPr="00583A1B">
        <w:rPr>
          <w:rFonts w:cs="Arial"/>
        </w:rPr>
        <w:t>where is the unit of time</w:t>
      </w:r>
      <w:r w:rsidRPr="005A3ECE">
        <w:rPr>
          <w:rFonts w:cs="Arial"/>
        </w:rPr>
        <w:t xml:space="preserve"> </w:t>
      </w:r>
      <w:r>
        <w:rPr>
          <w:rFonts w:cs="Arial"/>
        </w:rPr>
        <w:t>is</w:t>
      </w:r>
      <w:r w:rsidRPr="00583A1B">
        <w:rPr>
          <w:rFonts w:cs="Arial"/>
        </w:rPr>
        <w:t xml:space="preserve"> to be specified</w:t>
      </w:r>
      <w:r w:rsidRPr="005A3ECE">
        <w:rPr>
          <w:rFonts w:cs="Arial"/>
        </w:rPr>
        <w:t>.</w:t>
      </w:r>
    </w:p>
    <w:permEnd w:id="686839684"/>
    <w:p w14:paraId="4B0FF938" w14:textId="20FF2C93"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&lt;ESMA_QUESTION_BEEX_9&gt;</w:t>
      </w:r>
    </w:p>
    <w:p w14:paraId="3ED8C52A" w14:textId="77777777" w:rsidR="004258CF" w:rsidRPr="004258CF" w:rsidRDefault="004258CF" w:rsidP="004258CF">
      <w:pPr>
        <w:spacing w:after="160" w:line="256" w:lineRule="auto"/>
        <w:rPr>
          <w:rFonts w:ascii="Calibri" w:eastAsia="Calibri" w:hAnsi="Calibri"/>
          <w:sz w:val="22"/>
          <w:szCs w:val="22"/>
          <w:lang w:eastAsia="en-US"/>
        </w:rPr>
      </w:pPr>
    </w:p>
    <w:p w14:paraId="424DF368" w14:textId="77777777" w:rsidR="004258CF" w:rsidRPr="00014A67" w:rsidRDefault="004258CF" w:rsidP="00014A67">
      <w:pPr>
        <w:rPr>
          <w:lang w:eastAsia="en-US"/>
        </w:rPr>
      </w:pPr>
    </w:p>
    <w:sectPr w:rsidR="004258CF" w:rsidRPr="00014A67" w:rsidSect="00A8728B">
      <w:headerReference w:type="even" r:id="rId19"/>
      <w:headerReference w:type="first" r:id="rId20"/>
      <w:footerReference w:type="first" r:id="rId21"/>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B2C23" w14:textId="77777777" w:rsidR="00C46AF0" w:rsidRDefault="00C46AF0">
      <w:r>
        <w:separator/>
      </w:r>
    </w:p>
    <w:p w14:paraId="5C29086A" w14:textId="77777777" w:rsidR="00C46AF0" w:rsidRDefault="00C46AF0"/>
  </w:endnote>
  <w:endnote w:type="continuationSeparator" w:id="0">
    <w:p w14:paraId="59A58414" w14:textId="77777777" w:rsidR="00C46AF0" w:rsidRDefault="00C46AF0">
      <w:r>
        <w:continuationSeparator/>
      </w:r>
    </w:p>
    <w:p w14:paraId="3DC8D187" w14:textId="77777777" w:rsidR="00C46AF0" w:rsidRDefault="00C46AF0"/>
  </w:endnote>
  <w:endnote w:type="continuationNotice" w:id="1">
    <w:p w14:paraId="1049EDA0" w14:textId="77777777" w:rsidR="00C46AF0" w:rsidRDefault="00C46A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14:paraId="5517B000" w14:textId="77777777" w:rsidTr="00315E96">
      <w:trPr>
        <w:trHeight w:val="284"/>
      </w:trPr>
      <w:tc>
        <w:tcPr>
          <w:tcW w:w="8460" w:type="dxa"/>
        </w:tcPr>
        <w:p w14:paraId="4C959F65" w14:textId="77777777" w:rsidR="00811EDA" w:rsidRPr="00315E96" w:rsidRDefault="00811EDA" w:rsidP="00315E96">
          <w:pPr>
            <w:pStyle w:val="00Footer"/>
            <w:rPr>
              <w:lang w:val="fr-FR"/>
            </w:rPr>
          </w:pPr>
        </w:p>
      </w:tc>
      <w:tc>
        <w:tcPr>
          <w:tcW w:w="952" w:type="dxa"/>
        </w:tcPr>
        <w:p w14:paraId="2310C30E" w14:textId="77777777"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2E5D63">
            <w:rPr>
              <w:rFonts w:cs="Arial"/>
              <w:noProof/>
              <w:sz w:val="22"/>
              <w:szCs w:val="22"/>
            </w:rPr>
            <w:t>6</w:t>
          </w:r>
          <w:r w:rsidRPr="00616B9B">
            <w:rPr>
              <w:rFonts w:cs="Arial"/>
              <w:noProof/>
              <w:sz w:val="22"/>
              <w:szCs w:val="22"/>
            </w:rPr>
            <w:fldChar w:fldCharType="end"/>
          </w:r>
        </w:p>
      </w:tc>
    </w:tr>
  </w:tbl>
  <w:p w14:paraId="08C7C785" w14:textId="77777777" w:rsidR="00811EDA" w:rsidRDefault="00811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6AEC" w14:textId="77777777" w:rsidR="00811EDA" w:rsidRDefault="0081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2D7BD" w14:textId="77777777" w:rsidR="00C46AF0" w:rsidRDefault="00C46AF0">
      <w:r>
        <w:separator/>
      </w:r>
    </w:p>
    <w:p w14:paraId="407B445A" w14:textId="77777777" w:rsidR="00C46AF0" w:rsidRDefault="00C46AF0"/>
  </w:footnote>
  <w:footnote w:type="continuationSeparator" w:id="0">
    <w:p w14:paraId="3B5BD0F7" w14:textId="77777777" w:rsidR="00C46AF0" w:rsidRDefault="00C46AF0">
      <w:r>
        <w:continuationSeparator/>
      </w:r>
    </w:p>
    <w:p w14:paraId="4C6C7895" w14:textId="77777777" w:rsidR="00C46AF0" w:rsidRDefault="00C46AF0"/>
  </w:footnote>
  <w:footnote w:type="continuationNotice" w:id="1">
    <w:p w14:paraId="50382C6F" w14:textId="77777777" w:rsidR="00C46AF0" w:rsidRDefault="00C46A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FC29" w14:textId="77777777" w:rsidR="00811EDA" w:rsidRDefault="00DE66EB">
    <w:pPr>
      <w:pStyle w:val="Header"/>
    </w:pPr>
    <w:r>
      <w:rPr>
        <w:noProof/>
        <w:lang w:eastAsia="en-GB"/>
      </w:rPr>
      <w:drawing>
        <wp:anchor distT="0" distB="0" distL="114300" distR="114300" simplePos="0" relativeHeight="251658243" behindDoc="0" locked="0" layoutInCell="1" allowOverlap="1" wp14:anchorId="58007497" wp14:editId="2485B028">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37C3A634" wp14:editId="67CBF127">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FA7D6"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7EF13" w14:textId="77777777" w:rsidR="00811EDA" w:rsidRDefault="00DE66EB" w:rsidP="00013CCE">
    <w:pPr>
      <w:pStyle w:val="Header"/>
      <w:jc w:val="right"/>
    </w:pPr>
    <w:r>
      <w:rPr>
        <w:noProof/>
        <w:lang w:eastAsia="en-GB"/>
      </w:rPr>
      <w:drawing>
        <wp:anchor distT="0" distB="0" distL="114300" distR="114300" simplePos="0" relativeHeight="251658242" behindDoc="0" locked="0" layoutInCell="1" allowOverlap="1" wp14:anchorId="15EF6453" wp14:editId="1BE880FF">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41A97CFF" wp14:editId="1E2D0B9F">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4387" w14:textId="77777777" w:rsidR="00811EDA" w:rsidRDefault="00811ED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14:paraId="5849CEB8" w14:textId="77777777" w:rsidTr="000C06C9">
      <w:trPr>
        <w:trHeight w:val="284"/>
      </w:trPr>
      <w:tc>
        <w:tcPr>
          <w:tcW w:w="8460" w:type="dxa"/>
        </w:tcPr>
        <w:p w14:paraId="2B1CC9DC" w14:textId="77777777" w:rsidR="00811EDA" w:rsidRPr="000C3B6D" w:rsidRDefault="00811EDA" w:rsidP="000C06C9">
          <w:pPr>
            <w:pStyle w:val="00Footer"/>
            <w:rPr>
              <w:lang w:val="fr-FR"/>
            </w:rPr>
          </w:pPr>
        </w:p>
      </w:tc>
      <w:tc>
        <w:tcPr>
          <w:tcW w:w="952" w:type="dxa"/>
        </w:tcPr>
        <w:p w14:paraId="0A78D32B" w14:textId="77777777" w:rsidR="00811EDA" w:rsidRPr="00146B34" w:rsidRDefault="00811EDA" w:rsidP="000C06C9">
          <w:pPr>
            <w:pStyle w:val="00aPagenumber"/>
            <w:rPr>
              <w:lang w:val="fr-FR"/>
            </w:rPr>
          </w:pPr>
        </w:p>
      </w:tc>
    </w:tr>
  </w:tbl>
  <w:p w14:paraId="228C483B" w14:textId="77777777" w:rsidR="00811EDA" w:rsidRPr="00DB46C3" w:rsidRDefault="00811EDA">
    <w:pPr>
      <w:rPr>
        <w:lang w:val="fr-FR"/>
      </w:rPr>
    </w:pPr>
  </w:p>
  <w:p w14:paraId="7ABBBBAC" w14:textId="77777777" w:rsidR="00811EDA" w:rsidRPr="002F4496" w:rsidRDefault="00811EDA">
    <w:pPr>
      <w:pStyle w:val="Header"/>
      <w:rPr>
        <w:lang w:val="fr-FR"/>
      </w:rPr>
    </w:pPr>
  </w:p>
  <w:p w14:paraId="0F1BB730" w14:textId="77777777" w:rsidR="00811EDA" w:rsidRPr="002F4496" w:rsidRDefault="00811EDA" w:rsidP="000C06C9">
    <w:pPr>
      <w:pStyle w:val="Header"/>
      <w:tabs>
        <w:tab w:val="clear" w:pos="4536"/>
        <w:tab w:val="clear" w:pos="9072"/>
        <w:tab w:val="left" w:pos="8227"/>
      </w:tabs>
      <w:rPr>
        <w:lang w:val="fr-FR"/>
      </w:rPr>
    </w:pPr>
  </w:p>
  <w:p w14:paraId="354F7019" w14:textId="77777777" w:rsidR="00811EDA" w:rsidRPr="002F4496" w:rsidRDefault="00811EDA" w:rsidP="000C06C9">
    <w:pPr>
      <w:pStyle w:val="Header"/>
      <w:tabs>
        <w:tab w:val="clear" w:pos="4536"/>
        <w:tab w:val="clear" w:pos="9072"/>
        <w:tab w:val="left" w:pos="8227"/>
      </w:tabs>
      <w:rPr>
        <w:lang w:val="fr-FR"/>
      </w:rPr>
    </w:pPr>
  </w:p>
  <w:p w14:paraId="438C49BF" w14:textId="77777777" w:rsidR="00811EDA" w:rsidRPr="002F4496" w:rsidRDefault="00811EDA">
    <w:pPr>
      <w:pStyle w:val="Header"/>
      <w:rPr>
        <w:lang w:val="fr-FR"/>
      </w:rPr>
    </w:pPr>
  </w:p>
  <w:p w14:paraId="77F5F5FB" w14:textId="77777777" w:rsidR="00811EDA" w:rsidRPr="002F4496" w:rsidRDefault="00811EDA">
    <w:pPr>
      <w:pStyle w:val="Header"/>
      <w:rPr>
        <w:lang w:val="fr-FR"/>
      </w:rPr>
    </w:pPr>
  </w:p>
  <w:p w14:paraId="31EA96F8" w14:textId="77777777" w:rsidR="00811EDA" w:rsidRPr="002F4496" w:rsidRDefault="00811EDA">
    <w:pPr>
      <w:pStyle w:val="Header"/>
      <w:rPr>
        <w:lang w:val="fr-FR"/>
      </w:rPr>
    </w:pPr>
  </w:p>
  <w:p w14:paraId="0FAE7A71" w14:textId="77777777" w:rsidR="00811EDA" w:rsidRPr="002F4496" w:rsidRDefault="00811EDA">
    <w:pPr>
      <w:pStyle w:val="Header"/>
      <w:rPr>
        <w:lang w:val="fr-FR"/>
      </w:rPr>
    </w:pPr>
  </w:p>
  <w:p w14:paraId="339C0C6E" w14:textId="77777777" w:rsidR="00811EDA" w:rsidRPr="002F4496" w:rsidRDefault="00811EDA">
    <w:pPr>
      <w:pStyle w:val="Header"/>
      <w:rPr>
        <w:highlight w:val="yellow"/>
        <w:lang w:val="fr-FR"/>
      </w:rPr>
    </w:pPr>
  </w:p>
  <w:p w14:paraId="0495A777" w14:textId="77777777" w:rsidR="00811EDA" w:rsidRDefault="00DE66EB">
    <w:pPr>
      <w:pStyle w:val="Header"/>
    </w:pPr>
    <w:r>
      <w:rPr>
        <w:noProof/>
        <w:lang w:eastAsia="en-GB"/>
      </w:rPr>
      <mc:AlternateContent>
        <mc:Choice Requires="wps">
          <w:drawing>
            <wp:anchor distT="0" distB="0" distL="114299" distR="114299" simplePos="0" relativeHeight="251658245" behindDoc="0" locked="0" layoutInCell="1" allowOverlap="1" wp14:anchorId="41238317" wp14:editId="0A68E944">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02F5C"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75C99C5C" wp14:editId="52805A46">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F71045"/>
    <w:multiLevelType w:val="hybridMultilevel"/>
    <w:tmpl w:val="05363EB4"/>
    <w:lvl w:ilvl="0" w:tplc="FEBC03DA">
      <w:start w:val="1"/>
      <w:numFmt w:val="lowerRoman"/>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2232B"/>
    <w:multiLevelType w:val="hybridMultilevel"/>
    <w:tmpl w:val="FA6466B6"/>
    <w:lvl w:ilvl="0" w:tplc="B8FE8AE4">
      <w:start w:val="1"/>
      <w:numFmt w:val="decimal"/>
      <w:pStyle w:val="Questionstyle"/>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8"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9" w15:restartNumberingAfterBreak="0">
    <w:nsid w:val="46E90B7C"/>
    <w:multiLevelType w:val="hybridMultilevel"/>
    <w:tmpl w:val="79C89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8"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0"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1"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E67700"/>
    <w:multiLevelType w:val="hybridMultilevel"/>
    <w:tmpl w:val="75FA8684"/>
    <w:lvl w:ilvl="0" w:tplc="34B43D72">
      <w:start w:val="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4"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6"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9"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6"/>
  </w:num>
  <w:num w:numId="2">
    <w:abstractNumId w:val="18"/>
  </w:num>
  <w:num w:numId="3">
    <w:abstractNumId w:val="11"/>
  </w:num>
  <w:num w:numId="4">
    <w:abstractNumId w:val="24"/>
  </w:num>
  <w:num w:numId="5">
    <w:abstractNumId w:val="26"/>
  </w:num>
  <w:num w:numId="6">
    <w:abstractNumId w:val="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1"/>
  </w:num>
  <w:num w:numId="14">
    <w:abstractNumId w:val="23"/>
  </w:num>
  <w:num w:numId="15">
    <w:abstractNumId w:val="9"/>
  </w:num>
  <w:num w:numId="16">
    <w:abstractNumId w:val="1"/>
  </w:num>
  <w:num w:numId="17">
    <w:abstractNumId w:val="14"/>
  </w:num>
  <w:num w:numId="18">
    <w:abstractNumId w:val="15"/>
  </w:num>
  <w:num w:numId="19">
    <w:abstractNumId w:val="17"/>
  </w:num>
  <w:num w:numId="20">
    <w:abstractNumId w:val="27"/>
  </w:num>
  <w:num w:numId="21">
    <w:abstractNumId w:val="37"/>
  </w:num>
  <w:num w:numId="22">
    <w:abstractNumId w:val="25"/>
  </w:num>
  <w:num w:numId="23">
    <w:abstractNumId w:val="8"/>
  </w:num>
  <w:num w:numId="24">
    <w:abstractNumId w:val="30"/>
  </w:num>
  <w:num w:numId="25">
    <w:abstractNumId w:val="29"/>
  </w:num>
  <w:num w:numId="26">
    <w:abstractNumId w:val="20"/>
  </w:num>
  <w:num w:numId="27">
    <w:abstractNumId w:val="34"/>
  </w:num>
  <w:num w:numId="28">
    <w:abstractNumId w:val="39"/>
  </w:num>
  <w:num w:numId="29">
    <w:abstractNumId w:val="6"/>
  </w:num>
  <w:num w:numId="30">
    <w:abstractNumId w:val="2"/>
  </w:num>
  <w:num w:numId="31">
    <w:abstractNumId w:val="22"/>
  </w:num>
  <w:num w:numId="32">
    <w:abstractNumId w:val="21"/>
  </w:num>
  <w:num w:numId="33">
    <w:abstractNumId w:val="36"/>
  </w:num>
  <w:num w:numId="34">
    <w:abstractNumId w:val="35"/>
  </w:num>
  <w:num w:numId="35">
    <w:abstractNumId w:val="10"/>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2"/>
  </w:num>
  <w:num w:numId="39">
    <w:abstractNumId w:val="19"/>
  </w:num>
  <w:num w:numId="40">
    <w:abstractNumId w:val="3"/>
    <w:lvlOverride w:ilvl="0">
      <w:startOverride w:val="1"/>
    </w:lvlOverride>
    <w:lvlOverride w:ilvl="1"/>
    <w:lvlOverride w:ilvl="2"/>
    <w:lvlOverride w:ilvl="3"/>
    <w:lvlOverride w:ilvl="4"/>
    <w:lvlOverride w:ilvl="5"/>
    <w:lvlOverride w:ilvl="6"/>
    <w:lvlOverride w:ilvl="7"/>
    <w:lvlOverride w:ilvl="8"/>
  </w:num>
  <w:num w:numId="41">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GJ7HZXB9gSYCILHQIW1cyfcWswNF8iwjO8PyLtE3K2MEJ3QZI2bUAAcgNGjb506Vy2efyNvbdX3N1wEFLu9wfA==" w:salt="ELPiLiG5u/Wle4LZDLwvWQ=="/>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zNTcxsjSyNDS3tDBU0lEKTi0uzszPAykwrAUADMkkkywAAAA="/>
  </w:docVars>
  <w:rsids>
    <w:rsidRoot w:val="00A02370"/>
    <w:rsid w:val="000006AD"/>
    <w:rsid w:val="00001490"/>
    <w:rsid w:val="00002232"/>
    <w:rsid w:val="00002491"/>
    <w:rsid w:val="0000378E"/>
    <w:rsid w:val="00003AEB"/>
    <w:rsid w:val="00005BBA"/>
    <w:rsid w:val="00005D8C"/>
    <w:rsid w:val="000068A1"/>
    <w:rsid w:val="00006C2B"/>
    <w:rsid w:val="00007014"/>
    <w:rsid w:val="00007968"/>
    <w:rsid w:val="0001067A"/>
    <w:rsid w:val="00013CCE"/>
    <w:rsid w:val="000140D5"/>
    <w:rsid w:val="0001410B"/>
    <w:rsid w:val="000141D6"/>
    <w:rsid w:val="00014A67"/>
    <w:rsid w:val="00014A95"/>
    <w:rsid w:val="00015B5E"/>
    <w:rsid w:val="00015F1D"/>
    <w:rsid w:val="0001774B"/>
    <w:rsid w:val="00020D0F"/>
    <w:rsid w:val="000215EB"/>
    <w:rsid w:val="00021E83"/>
    <w:rsid w:val="000229B7"/>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0F7F"/>
    <w:rsid w:val="00062592"/>
    <w:rsid w:val="000636A1"/>
    <w:rsid w:val="000649D9"/>
    <w:rsid w:val="000652BE"/>
    <w:rsid w:val="00066479"/>
    <w:rsid w:val="00066F6B"/>
    <w:rsid w:val="0006723C"/>
    <w:rsid w:val="00070376"/>
    <w:rsid w:val="00070974"/>
    <w:rsid w:val="00071EAD"/>
    <w:rsid w:val="00071F4E"/>
    <w:rsid w:val="00072271"/>
    <w:rsid w:val="00072B54"/>
    <w:rsid w:val="0007463D"/>
    <w:rsid w:val="000749F0"/>
    <w:rsid w:val="00075503"/>
    <w:rsid w:val="0007609D"/>
    <w:rsid w:val="00077C67"/>
    <w:rsid w:val="00080976"/>
    <w:rsid w:val="00081148"/>
    <w:rsid w:val="00081CEB"/>
    <w:rsid w:val="00081E60"/>
    <w:rsid w:val="00082D8E"/>
    <w:rsid w:val="00082E31"/>
    <w:rsid w:val="00083AA3"/>
    <w:rsid w:val="000844F2"/>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0890"/>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C65"/>
    <w:rsid w:val="000F04D2"/>
    <w:rsid w:val="000F3C5C"/>
    <w:rsid w:val="000F55B7"/>
    <w:rsid w:val="000F604F"/>
    <w:rsid w:val="000F7399"/>
    <w:rsid w:val="001021EF"/>
    <w:rsid w:val="001027F1"/>
    <w:rsid w:val="00104F2E"/>
    <w:rsid w:val="00106124"/>
    <w:rsid w:val="001072DD"/>
    <w:rsid w:val="00110D7A"/>
    <w:rsid w:val="00111464"/>
    <w:rsid w:val="0011167D"/>
    <w:rsid w:val="00112892"/>
    <w:rsid w:val="00112E48"/>
    <w:rsid w:val="001130EA"/>
    <w:rsid w:val="00114259"/>
    <w:rsid w:val="001148DD"/>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451A"/>
    <w:rsid w:val="001459E3"/>
    <w:rsid w:val="00146A0B"/>
    <w:rsid w:val="00146A6C"/>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268A"/>
    <w:rsid w:val="00173AC7"/>
    <w:rsid w:val="001745D7"/>
    <w:rsid w:val="00175754"/>
    <w:rsid w:val="00176982"/>
    <w:rsid w:val="0017701C"/>
    <w:rsid w:val="00177C6B"/>
    <w:rsid w:val="00181264"/>
    <w:rsid w:val="001817D7"/>
    <w:rsid w:val="00181BD1"/>
    <w:rsid w:val="0018204A"/>
    <w:rsid w:val="00182526"/>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A1642"/>
    <w:rsid w:val="001A371B"/>
    <w:rsid w:val="001A4766"/>
    <w:rsid w:val="001A5E5C"/>
    <w:rsid w:val="001A6A0D"/>
    <w:rsid w:val="001A6C51"/>
    <w:rsid w:val="001A6FAA"/>
    <w:rsid w:val="001A7D73"/>
    <w:rsid w:val="001B0363"/>
    <w:rsid w:val="001B1355"/>
    <w:rsid w:val="001B3138"/>
    <w:rsid w:val="001B38DE"/>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C796B"/>
    <w:rsid w:val="001D000A"/>
    <w:rsid w:val="001D0883"/>
    <w:rsid w:val="001D2205"/>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1005"/>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301E6"/>
    <w:rsid w:val="00230776"/>
    <w:rsid w:val="00232F90"/>
    <w:rsid w:val="00233B08"/>
    <w:rsid w:val="00233C3B"/>
    <w:rsid w:val="0023499C"/>
    <w:rsid w:val="00235CE3"/>
    <w:rsid w:val="0023636A"/>
    <w:rsid w:val="00236F34"/>
    <w:rsid w:val="002372F7"/>
    <w:rsid w:val="00240651"/>
    <w:rsid w:val="00240803"/>
    <w:rsid w:val="00241178"/>
    <w:rsid w:val="0024426D"/>
    <w:rsid w:val="00244F1D"/>
    <w:rsid w:val="00245004"/>
    <w:rsid w:val="00245FB4"/>
    <w:rsid w:val="00247FB6"/>
    <w:rsid w:val="00250898"/>
    <w:rsid w:val="00251EA9"/>
    <w:rsid w:val="00252843"/>
    <w:rsid w:val="002543F8"/>
    <w:rsid w:val="002551A4"/>
    <w:rsid w:val="002559F3"/>
    <w:rsid w:val="00256DFE"/>
    <w:rsid w:val="00261D56"/>
    <w:rsid w:val="00261FD3"/>
    <w:rsid w:val="00264077"/>
    <w:rsid w:val="00266B9A"/>
    <w:rsid w:val="00270AF9"/>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6005"/>
    <w:rsid w:val="002A0925"/>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66D"/>
    <w:rsid w:val="002C27F9"/>
    <w:rsid w:val="002C2EFE"/>
    <w:rsid w:val="002C53AA"/>
    <w:rsid w:val="002C5B2D"/>
    <w:rsid w:val="002C6AF9"/>
    <w:rsid w:val="002C7DFC"/>
    <w:rsid w:val="002D14F3"/>
    <w:rsid w:val="002D1646"/>
    <w:rsid w:val="002D16E4"/>
    <w:rsid w:val="002D2FEF"/>
    <w:rsid w:val="002D36C2"/>
    <w:rsid w:val="002D3FCB"/>
    <w:rsid w:val="002D4FEF"/>
    <w:rsid w:val="002D502D"/>
    <w:rsid w:val="002D63F5"/>
    <w:rsid w:val="002D6E1A"/>
    <w:rsid w:val="002E036D"/>
    <w:rsid w:val="002E1517"/>
    <w:rsid w:val="002E1B22"/>
    <w:rsid w:val="002E30BB"/>
    <w:rsid w:val="002E387F"/>
    <w:rsid w:val="002E5D63"/>
    <w:rsid w:val="002E7113"/>
    <w:rsid w:val="002E7F4B"/>
    <w:rsid w:val="002E7FB3"/>
    <w:rsid w:val="002F0C91"/>
    <w:rsid w:val="002F0E3E"/>
    <w:rsid w:val="002F1B19"/>
    <w:rsid w:val="002F1FBF"/>
    <w:rsid w:val="002F4139"/>
    <w:rsid w:val="002F5E9E"/>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895"/>
    <w:rsid w:val="00315E96"/>
    <w:rsid w:val="00317FC8"/>
    <w:rsid w:val="00320B9B"/>
    <w:rsid w:val="003223D7"/>
    <w:rsid w:val="00323D9F"/>
    <w:rsid w:val="00324011"/>
    <w:rsid w:val="00324FDB"/>
    <w:rsid w:val="00325F48"/>
    <w:rsid w:val="003273FE"/>
    <w:rsid w:val="0033194F"/>
    <w:rsid w:val="00332304"/>
    <w:rsid w:val="00332406"/>
    <w:rsid w:val="00332D8D"/>
    <w:rsid w:val="003331A2"/>
    <w:rsid w:val="00336B56"/>
    <w:rsid w:val="00341B25"/>
    <w:rsid w:val="00341EC0"/>
    <w:rsid w:val="0034240C"/>
    <w:rsid w:val="00344496"/>
    <w:rsid w:val="00345968"/>
    <w:rsid w:val="00347667"/>
    <w:rsid w:val="00347DC6"/>
    <w:rsid w:val="00350590"/>
    <w:rsid w:val="003507E2"/>
    <w:rsid w:val="003522B2"/>
    <w:rsid w:val="0035455E"/>
    <w:rsid w:val="00354A6F"/>
    <w:rsid w:val="00354B48"/>
    <w:rsid w:val="00355789"/>
    <w:rsid w:val="003557F4"/>
    <w:rsid w:val="00357C60"/>
    <w:rsid w:val="003609B6"/>
    <w:rsid w:val="00361119"/>
    <w:rsid w:val="0036538D"/>
    <w:rsid w:val="00365D12"/>
    <w:rsid w:val="0037018D"/>
    <w:rsid w:val="00371270"/>
    <w:rsid w:val="00372299"/>
    <w:rsid w:val="00372F02"/>
    <w:rsid w:val="00373729"/>
    <w:rsid w:val="00373C91"/>
    <w:rsid w:val="003748F0"/>
    <w:rsid w:val="003755C6"/>
    <w:rsid w:val="00375AEF"/>
    <w:rsid w:val="00375F8E"/>
    <w:rsid w:val="00376367"/>
    <w:rsid w:val="00376B02"/>
    <w:rsid w:val="0037733A"/>
    <w:rsid w:val="003776DC"/>
    <w:rsid w:val="003779C1"/>
    <w:rsid w:val="00380FEC"/>
    <w:rsid w:val="00381226"/>
    <w:rsid w:val="00381B1B"/>
    <w:rsid w:val="00381FF6"/>
    <w:rsid w:val="00383D7D"/>
    <w:rsid w:val="00384CCE"/>
    <w:rsid w:val="003865E5"/>
    <w:rsid w:val="00386BB8"/>
    <w:rsid w:val="003926C1"/>
    <w:rsid w:val="00392900"/>
    <w:rsid w:val="00393357"/>
    <w:rsid w:val="00394CE6"/>
    <w:rsid w:val="00395E7B"/>
    <w:rsid w:val="00395F4C"/>
    <w:rsid w:val="003A0A78"/>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D7C66"/>
    <w:rsid w:val="003E0F84"/>
    <w:rsid w:val="003E1FF3"/>
    <w:rsid w:val="003E3ACA"/>
    <w:rsid w:val="003E50EA"/>
    <w:rsid w:val="003E68C7"/>
    <w:rsid w:val="003E79B0"/>
    <w:rsid w:val="003F0403"/>
    <w:rsid w:val="003F1094"/>
    <w:rsid w:val="003F1D41"/>
    <w:rsid w:val="003F2E45"/>
    <w:rsid w:val="003F3EFE"/>
    <w:rsid w:val="003F40B8"/>
    <w:rsid w:val="003F5C06"/>
    <w:rsid w:val="00400195"/>
    <w:rsid w:val="0040075B"/>
    <w:rsid w:val="0040254B"/>
    <w:rsid w:val="00403086"/>
    <w:rsid w:val="00403460"/>
    <w:rsid w:val="004040FF"/>
    <w:rsid w:val="00404284"/>
    <w:rsid w:val="004042C4"/>
    <w:rsid w:val="00406E90"/>
    <w:rsid w:val="00410240"/>
    <w:rsid w:val="00412253"/>
    <w:rsid w:val="004142ED"/>
    <w:rsid w:val="0041634D"/>
    <w:rsid w:val="00417EF7"/>
    <w:rsid w:val="00422A7D"/>
    <w:rsid w:val="00422BFC"/>
    <w:rsid w:val="00424642"/>
    <w:rsid w:val="0042504C"/>
    <w:rsid w:val="004258CF"/>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2E06"/>
    <w:rsid w:val="004456DC"/>
    <w:rsid w:val="00447FBE"/>
    <w:rsid w:val="0045035E"/>
    <w:rsid w:val="0045175A"/>
    <w:rsid w:val="00451ED9"/>
    <w:rsid w:val="00452180"/>
    <w:rsid w:val="00453072"/>
    <w:rsid w:val="004539F8"/>
    <w:rsid w:val="00453F26"/>
    <w:rsid w:val="0045503F"/>
    <w:rsid w:val="00455107"/>
    <w:rsid w:val="00455273"/>
    <w:rsid w:val="00460905"/>
    <w:rsid w:val="00461E35"/>
    <w:rsid w:val="004621DB"/>
    <w:rsid w:val="004634A7"/>
    <w:rsid w:val="00463787"/>
    <w:rsid w:val="00466926"/>
    <w:rsid w:val="00466FDA"/>
    <w:rsid w:val="004671D0"/>
    <w:rsid w:val="004674D1"/>
    <w:rsid w:val="00470356"/>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2B3A"/>
    <w:rsid w:val="004934E9"/>
    <w:rsid w:val="00494737"/>
    <w:rsid w:val="00494D5C"/>
    <w:rsid w:val="00495A6A"/>
    <w:rsid w:val="004964F6"/>
    <w:rsid w:val="00496821"/>
    <w:rsid w:val="00497750"/>
    <w:rsid w:val="00497B44"/>
    <w:rsid w:val="004A00E5"/>
    <w:rsid w:val="004A01A7"/>
    <w:rsid w:val="004A03FB"/>
    <w:rsid w:val="004A0D09"/>
    <w:rsid w:val="004A116E"/>
    <w:rsid w:val="004A357F"/>
    <w:rsid w:val="004A3DAD"/>
    <w:rsid w:val="004A4AC0"/>
    <w:rsid w:val="004B0335"/>
    <w:rsid w:val="004B0F1C"/>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77A"/>
    <w:rsid w:val="004E49B0"/>
    <w:rsid w:val="004E62DE"/>
    <w:rsid w:val="004E6AE4"/>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268EC"/>
    <w:rsid w:val="00530A8D"/>
    <w:rsid w:val="00531C6D"/>
    <w:rsid w:val="00532EF4"/>
    <w:rsid w:val="005347CE"/>
    <w:rsid w:val="00535477"/>
    <w:rsid w:val="00535DEA"/>
    <w:rsid w:val="0053723A"/>
    <w:rsid w:val="00537636"/>
    <w:rsid w:val="00537B1D"/>
    <w:rsid w:val="00540191"/>
    <w:rsid w:val="00540A2A"/>
    <w:rsid w:val="00541F27"/>
    <w:rsid w:val="00541F47"/>
    <w:rsid w:val="00542297"/>
    <w:rsid w:val="005424BC"/>
    <w:rsid w:val="00542A28"/>
    <w:rsid w:val="00543E3E"/>
    <w:rsid w:val="005441D4"/>
    <w:rsid w:val="0054672D"/>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57DF"/>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3BAC"/>
    <w:rsid w:val="005D4A86"/>
    <w:rsid w:val="005D5EB1"/>
    <w:rsid w:val="005D6A29"/>
    <w:rsid w:val="005D6C8C"/>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5F6F7F"/>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52C"/>
    <w:rsid w:val="00620D7C"/>
    <w:rsid w:val="00621089"/>
    <w:rsid w:val="00621E1F"/>
    <w:rsid w:val="006228B2"/>
    <w:rsid w:val="006228E1"/>
    <w:rsid w:val="00622E32"/>
    <w:rsid w:val="00623688"/>
    <w:rsid w:val="006247E0"/>
    <w:rsid w:val="00625F82"/>
    <w:rsid w:val="00627999"/>
    <w:rsid w:val="006301E3"/>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06E1"/>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091"/>
    <w:rsid w:val="006966CD"/>
    <w:rsid w:val="00696735"/>
    <w:rsid w:val="006975D4"/>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C6660"/>
    <w:rsid w:val="006D0D0A"/>
    <w:rsid w:val="006D399F"/>
    <w:rsid w:val="006D4F0C"/>
    <w:rsid w:val="006D5645"/>
    <w:rsid w:val="006D748D"/>
    <w:rsid w:val="006E0A4F"/>
    <w:rsid w:val="006E0C8A"/>
    <w:rsid w:val="006E2A23"/>
    <w:rsid w:val="006E35E5"/>
    <w:rsid w:val="006E3C72"/>
    <w:rsid w:val="006E4F20"/>
    <w:rsid w:val="006E649A"/>
    <w:rsid w:val="006F08DC"/>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1C5"/>
    <w:rsid w:val="00743DE7"/>
    <w:rsid w:val="0074509E"/>
    <w:rsid w:val="00745B9F"/>
    <w:rsid w:val="0074726F"/>
    <w:rsid w:val="0075015C"/>
    <w:rsid w:val="00752D4F"/>
    <w:rsid w:val="00752DC8"/>
    <w:rsid w:val="0075409F"/>
    <w:rsid w:val="0075525A"/>
    <w:rsid w:val="00755609"/>
    <w:rsid w:val="00755874"/>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5431"/>
    <w:rsid w:val="00766F4D"/>
    <w:rsid w:val="00770268"/>
    <w:rsid w:val="007706B9"/>
    <w:rsid w:val="007707ED"/>
    <w:rsid w:val="00771C3B"/>
    <w:rsid w:val="007726F9"/>
    <w:rsid w:val="00773B94"/>
    <w:rsid w:val="00773C65"/>
    <w:rsid w:val="00775937"/>
    <w:rsid w:val="00776C11"/>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D09"/>
    <w:rsid w:val="007B5F3B"/>
    <w:rsid w:val="007C02B0"/>
    <w:rsid w:val="007C063E"/>
    <w:rsid w:val="007C068C"/>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090C"/>
    <w:rsid w:val="007E1411"/>
    <w:rsid w:val="007E1882"/>
    <w:rsid w:val="007E1BB4"/>
    <w:rsid w:val="007E3514"/>
    <w:rsid w:val="007E4AAA"/>
    <w:rsid w:val="007E4BD2"/>
    <w:rsid w:val="007E4C29"/>
    <w:rsid w:val="007E5E44"/>
    <w:rsid w:val="007F0DDA"/>
    <w:rsid w:val="007F1939"/>
    <w:rsid w:val="007F365C"/>
    <w:rsid w:val="007F4A2A"/>
    <w:rsid w:val="007F5066"/>
    <w:rsid w:val="007F621C"/>
    <w:rsid w:val="007F7155"/>
    <w:rsid w:val="007F79DB"/>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987"/>
    <w:rsid w:val="00865B01"/>
    <w:rsid w:val="00866D7A"/>
    <w:rsid w:val="00866EE3"/>
    <w:rsid w:val="008701E5"/>
    <w:rsid w:val="008706C5"/>
    <w:rsid w:val="00871D24"/>
    <w:rsid w:val="00871F04"/>
    <w:rsid w:val="00873B7E"/>
    <w:rsid w:val="008746C1"/>
    <w:rsid w:val="00880224"/>
    <w:rsid w:val="0088244C"/>
    <w:rsid w:val="00883367"/>
    <w:rsid w:val="00884C47"/>
    <w:rsid w:val="00884E92"/>
    <w:rsid w:val="00885E6F"/>
    <w:rsid w:val="008861AC"/>
    <w:rsid w:val="008868E4"/>
    <w:rsid w:val="00886A60"/>
    <w:rsid w:val="00886D30"/>
    <w:rsid w:val="0088759B"/>
    <w:rsid w:val="008909B4"/>
    <w:rsid w:val="008922E8"/>
    <w:rsid w:val="00893916"/>
    <w:rsid w:val="008941B9"/>
    <w:rsid w:val="0089442C"/>
    <w:rsid w:val="008952F5"/>
    <w:rsid w:val="00895818"/>
    <w:rsid w:val="008A2585"/>
    <w:rsid w:val="008A2718"/>
    <w:rsid w:val="008A41FE"/>
    <w:rsid w:val="008A4CF6"/>
    <w:rsid w:val="008A4E42"/>
    <w:rsid w:val="008A51AA"/>
    <w:rsid w:val="008A6A12"/>
    <w:rsid w:val="008B0DC6"/>
    <w:rsid w:val="008B2B9E"/>
    <w:rsid w:val="008B31F5"/>
    <w:rsid w:val="008B4C79"/>
    <w:rsid w:val="008B5D2D"/>
    <w:rsid w:val="008B6022"/>
    <w:rsid w:val="008B6361"/>
    <w:rsid w:val="008C0320"/>
    <w:rsid w:val="008C1A51"/>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E6B70"/>
    <w:rsid w:val="008F0354"/>
    <w:rsid w:val="008F085A"/>
    <w:rsid w:val="008F0FA7"/>
    <w:rsid w:val="008F1462"/>
    <w:rsid w:val="008F2413"/>
    <w:rsid w:val="008F248D"/>
    <w:rsid w:val="008F4B2C"/>
    <w:rsid w:val="008F4C08"/>
    <w:rsid w:val="008F6851"/>
    <w:rsid w:val="008F7BC4"/>
    <w:rsid w:val="00900E7A"/>
    <w:rsid w:val="00903E11"/>
    <w:rsid w:val="00903EBE"/>
    <w:rsid w:val="009041DE"/>
    <w:rsid w:val="00905D59"/>
    <w:rsid w:val="009062CA"/>
    <w:rsid w:val="00907631"/>
    <w:rsid w:val="00907776"/>
    <w:rsid w:val="0091143D"/>
    <w:rsid w:val="00913401"/>
    <w:rsid w:val="00913567"/>
    <w:rsid w:val="009137B6"/>
    <w:rsid w:val="009147F5"/>
    <w:rsid w:val="00915EBA"/>
    <w:rsid w:val="00917093"/>
    <w:rsid w:val="0091799E"/>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5CC"/>
    <w:rsid w:val="00946CCC"/>
    <w:rsid w:val="00947A5F"/>
    <w:rsid w:val="009503E5"/>
    <w:rsid w:val="00950F71"/>
    <w:rsid w:val="00952F2C"/>
    <w:rsid w:val="009532E3"/>
    <w:rsid w:val="00953615"/>
    <w:rsid w:val="00953A42"/>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B8"/>
    <w:rsid w:val="009661DF"/>
    <w:rsid w:val="009667BD"/>
    <w:rsid w:val="00967674"/>
    <w:rsid w:val="00967CE2"/>
    <w:rsid w:val="00971DA3"/>
    <w:rsid w:val="00972161"/>
    <w:rsid w:val="0097261B"/>
    <w:rsid w:val="009744FD"/>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287F"/>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6B77"/>
    <w:rsid w:val="009E7724"/>
    <w:rsid w:val="009E7D1F"/>
    <w:rsid w:val="009F1D82"/>
    <w:rsid w:val="009F37AA"/>
    <w:rsid w:val="009F383F"/>
    <w:rsid w:val="009F544C"/>
    <w:rsid w:val="009F5731"/>
    <w:rsid w:val="009F6321"/>
    <w:rsid w:val="009F6378"/>
    <w:rsid w:val="009F7669"/>
    <w:rsid w:val="009F7F45"/>
    <w:rsid w:val="009F7FD5"/>
    <w:rsid w:val="00A005D4"/>
    <w:rsid w:val="00A0083C"/>
    <w:rsid w:val="00A014B6"/>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2CFD"/>
    <w:rsid w:val="00A63C96"/>
    <w:rsid w:val="00A65805"/>
    <w:rsid w:val="00A66BEE"/>
    <w:rsid w:val="00A671C9"/>
    <w:rsid w:val="00A67DFD"/>
    <w:rsid w:val="00A70762"/>
    <w:rsid w:val="00A74F9F"/>
    <w:rsid w:val="00A750B3"/>
    <w:rsid w:val="00A75559"/>
    <w:rsid w:val="00A7623D"/>
    <w:rsid w:val="00A824A7"/>
    <w:rsid w:val="00A83644"/>
    <w:rsid w:val="00A83C07"/>
    <w:rsid w:val="00A83F40"/>
    <w:rsid w:val="00A84945"/>
    <w:rsid w:val="00A85226"/>
    <w:rsid w:val="00A85543"/>
    <w:rsid w:val="00A8728B"/>
    <w:rsid w:val="00A903D3"/>
    <w:rsid w:val="00A91682"/>
    <w:rsid w:val="00A92E4A"/>
    <w:rsid w:val="00A958CA"/>
    <w:rsid w:val="00A966B6"/>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1E9"/>
    <w:rsid w:val="00AD1271"/>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201E"/>
    <w:rsid w:val="00AF332C"/>
    <w:rsid w:val="00AF38AF"/>
    <w:rsid w:val="00AF3C29"/>
    <w:rsid w:val="00AF4401"/>
    <w:rsid w:val="00AF4463"/>
    <w:rsid w:val="00AF53CB"/>
    <w:rsid w:val="00AF5D6D"/>
    <w:rsid w:val="00AF65C5"/>
    <w:rsid w:val="00B03CE2"/>
    <w:rsid w:val="00B059A9"/>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67E4"/>
    <w:rsid w:val="00B472AB"/>
    <w:rsid w:val="00B47CE4"/>
    <w:rsid w:val="00B503A8"/>
    <w:rsid w:val="00B5121D"/>
    <w:rsid w:val="00B525C0"/>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41E"/>
    <w:rsid w:val="00B85661"/>
    <w:rsid w:val="00B85C8A"/>
    <w:rsid w:val="00B86FBD"/>
    <w:rsid w:val="00B91B86"/>
    <w:rsid w:val="00B927CA"/>
    <w:rsid w:val="00B928AE"/>
    <w:rsid w:val="00B93CDA"/>
    <w:rsid w:val="00B942E9"/>
    <w:rsid w:val="00B9433A"/>
    <w:rsid w:val="00B948EE"/>
    <w:rsid w:val="00B949F5"/>
    <w:rsid w:val="00B94BF3"/>
    <w:rsid w:val="00B94F90"/>
    <w:rsid w:val="00B95DC5"/>
    <w:rsid w:val="00B97E34"/>
    <w:rsid w:val="00B97FEF"/>
    <w:rsid w:val="00BA1354"/>
    <w:rsid w:val="00BA24F8"/>
    <w:rsid w:val="00BA31AA"/>
    <w:rsid w:val="00BA45D8"/>
    <w:rsid w:val="00BA5828"/>
    <w:rsid w:val="00BA647A"/>
    <w:rsid w:val="00BA64B3"/>
    <w:rsid w:val="00BA7228"/>
    <w:rsid w:val="00BA754A"/>
    <w:rsid w:val="00BA7820"/>
    <w:rsid w:val="00BA794C"/>
    <w:rsid w:val="00BB09FB"/>
    <w:rsid w:val="00BB1617"/>
    <w:rsid w:val="00BB238D"/>
    <w:rsid w:val="00BB37CC"/>
    <w:rsid w:val="00BB48C4"/>
    <w:rsid w:val="00BB4956"/>
    <w:rsid w:val="00BB5C6F"/>
    <w:rsid w:val="00BB6907"/>
    <w:rsid w:val="00BB7A20"/>
    <w:rsid w:val="00BC15B1"/>
    <w:rsid w:val="00BC16E9"/>
    <w:rsid w:val="00BC1D4B"/>
    <w:rsid w:val="00BC2E12"/>
    <w:rsid w:val="00BC3C06"/>
    <w:rsid w:val="00BC4E8B"/>
    <w:rsid w:val="00BC5622"/>
    <w:rsid w:val="00BC6060"/>
    <w:rsid w:val="00BC6596"/>
    <w:rsid w:val="00BC7897"/>
    <w:rsid w:val="00BD0F35"/>
    <w:rsid w:val="00BD3C97"/>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37A5"/>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68D7"/>
    <w:rsid w:val="00C36FD1"/>
    <w:rsid w:val="00C371A5"/>
    <w:rsid w:val="00C372AF"/>
    <w:rsid w:val="00C400B0"/>
    <w:rsid w:val="00C40F4E"/>
    <w:rsid w:val="00C413FC"/>
    <w:rsid w:val="00C422C5"/>
    <w:rsid w:val="00C4245C"/>
    <w:rsid w:val="00C43D33"/>
    <w:rsid w:val="00C44407"/>
    <w:rsid w:val="00C456E8"/>
    <w:rsid w:val="00C46630"/>
    <w:rsid w:val="00C46AF0"/>
    <w:rsid w:val="00C47A2F"/>
    <w:rsid w:val="00C50D18"/>
    <w:rsid w:val="00C51179"/>
    <w:rsid w:val="00C5282C"/>
    <w:rsid w:val="00C52FBE"/>
    <w:rsid w:val="00C5355E"/>
    <w:rsid w:val="00C535E2"/>
    <w:rsid w:val="00C539FF"/>
    <w:rsid w:val="00C53FC1"/>
    <w:rsid w:val="00C56438"/>
    <w:rsid w:val="00C570B3"/>
    <w:rsid w:val="00C570D3"/>
    <w:rsid w:val="00C6009F"/>
    <w:rsid w:val="00C60417"/>
    <w:rsid w:val="00C6046F"/>
    <w:rsid w:val="00C638C2"/>
    <w:rsid w:val="00C651D4"/>
    <w:rsid w:val="00C6669E"/>
    <w:rsid w:val="00C66F9F"/>
    <w:rsid w:val="00C672B0"/>
    <w:rsid w:val="00C729C7"/>
    <w:rsid w:val="00C761FA"/>
    <w:rsid w:val="00C777AD"/>
    <w:rsid w:val="00C80C53"/>
    <w:rsid w:val="00C81195"/>
    <w:rsid w:val="00C85387"/>
    <w:rsid w:val="00C85E52"/>
    <w:rsid w:val="00C86471"/>
    <w:rsid w:val="00C8677B"/>
    <w:rsid w:val="00C86F96"/>
    <w:rsid w:val="00C909C6"/>
    <w:rsid w:val="00C923B7"/>
    <w:rsid w:val="00C93A9C"/>
    <w:rsid w:val="00C940C0"/>
    <w:rsid w:val="00C94D4C"/>
    <w:rsid w:val="00CA012C"/>
    <w:rsid w:val="00CA0AA6"/>
    <w:rsid w:val="00CA2897"/>
    <w:rsid w:val="00CA44F3"/>
    <w:rsid w:val="00CA51BA"/>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0E0A"/>
    <w:rsid w:val="00CC1783"/>
    <w:rsid w:val="00CC38E9"/>
    <w:rsid w:val="00CC3B46"/>
    <w:rsid w:val="00CC3D8B"/>
    <w:rsid w:val="00CC49EE"/>
    <w:rsid w:val="00CC4E27"/>
    <w:rsid w:val="00CC570C"/>
    <w:rsid w:val="00CC62B6"/>
    <w:rsid w:val="00CC76AA"/>
    <w:rsid w:val="00CC7CD2"/>
    <w:rsid w:val="00CD05CF"/>
    <w:rsid w:val="00CD06AB"/>
    <w:rsid w:val="00CD1FAE"/>
    <w:rsid w:val="00CD232F"/>
    <w:rsid w:val="00CD279E"/>
    <w:rsid w:val="00CD2986"/>
    <w:rsid w:val="00CD2F92"/>
    <w:rsid w:val="00CD3899"/>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582"/>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AC0"/>
    <w:rsid w:val="00D6081B"/>
    <w:rsid w:val="00D61A37"/>
    <w:rsid w:val="00D6240A"/>
    <w:rsid w:val="00D63093"/>
    <w:rsid w:val="00D63599"/>
    <w:rsid w:val="00D63EBD"/>
    <w:rsid w:val="00D64AAA"/>
    <w:rsid w:val="00D64B69"/>
    <w:rsid w:val="00D67101"/>
    <w:rsid w:val="00D7106D"/>
    <w:rsid w:val="00D71B45"/>
    <w:rsid w:val="00D71F8A"/>
    <w:rsid w:val="00D75603"/>
    <w:rsid w:val="00D75FEE"/>
    <w:rsid w:val="00D76933"/>
    <w:rsid w:val="00D76D88"/>
    <w:rsid w:val="00D77CC9"/>
    <w:rsid w:val="00D83D4B"/>
    <w:rsid w:val="00D871C6"/>
    <w:rsid w:val="00D91010"/>
    <w:rsid w:val="00D92BBE"/>
    <w:rsid w:val="00DA0FA7"/>
    <w:rsid w:val="00DA12B0"/>
    <w:rsid w:val="00DA2BA0"/>
    <w:rsid w:val="00DA39AD"/>
    <w:rsid w:val="00DA5523"/>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4A46"/>
    <w:rsid w:val="00DD61F5"/>
    <w:rsid w:val="00DE2FC2"/>
    <w:rsid w:val="00DE3223"/>
    <w:rsid w:val="00DE64A6"/>
    <w:rsid w:val="00DE66EB"/>
    <w:rsid w:val="00DE7035"/>
    <w:rsid w:val="00DF12E3"/>
    <w:rsid w:val="00DF3F1D"/>
    <w:rsid w:val="00DF595C"/>
    <w:rsid w:val="00DF7EA7"/>
    <w:rsid w:val="00E00DB9"/>
    <w:rsid w:val="00E04548"/>
    <w:rsid w:val="00E0484E"/>
    <w:rsid w:val="00E063F8"/>
    <w:rsid w:val="00E079AF"/>
    <w:rsid w:val="00E114D6"/>
    <w:rsid w:val="00E1166E"/>
    <w:rsid w:val="00E11DBD"/>
    <w:rsid w:val="00E13211"/>
    <w:rsid w:val="00E16FB5"/>
    <w:rsid w:val="00E179D6"/>
    <w:rsid w:val="00E21407"/>
    <w:rsid w:val="00E22668"/>
    <w:rsid w:val="00E227D3"/>
    <w:rsid w:val="00E22BFF"/>
    <w:rsid w:val="00E22CB0"/>
    <w:rsid w:val="00E23798"/>
    <w:rsid w:val="00E2585D"/>
    <w:rsid w:val="00E258BE"/>
    <w:rsid w:val="00E25DBD"/>
    <w:rsid w:val="00E25FA2"/>
    <w:rsid w:val="00E2723D"/>
    <w:rsid w:val="00E27C77"/>
    <w:rsid w:val="00E3179E"/>
    <w:rsid w:val="00E32AC9"/>
    <w:rsid w:val="00E34586"/>
    <w:rsid w:val="00E354DA"/>
    <w:rsid w:val="00E354F5"/>
    <w:rsid w:val="00E3687E"/>
    <w:rsid w:val="00E372DD"/>
    <w:rsid w:val="00E40974"/>
    <w:rsid w:val="00E40A5C"/>
    <w:rsid w:val="00E40AAB"/>
    <w:rsid w:val="00E40FD5"/>
    <w:rsid w:val="00E41205"/>
    <w:rsid w:val="00E41F32"/>
    <w:rsid w:val="00E42608"/>
    <w:rsid w:val="00E43536"/>
    <w:rsid w:val="00E43DA3"/>
    <w:rsid w:val="00E44B80"/>
    <w:rsid w:val="00E47430"/>
    <w:rsid w:val="00E50FB7"/>
    <w:rsid w:val="00E5199F"/>
    <w:rsid w:val="00E526DF"/>
    <w:rsid w:val="00E53C15"/>
    <w:rsid w:val="00E54EE6"/>
    <w:rsid w:val="00E56715"/>
    <w:rsid w:val="00E56C2C"/>
    <w:rsid w:val="00E57F8E"/>
    <w:rsid w:val="00E611C8"/>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3FB"/>
    <w:rsid w:val="00EA57E2"/>
    <w:rsid w:val="00EA7186"/>
    <w:rsid w:val="00EB018B"/>
    <w:rsid w:val="00EB1003"/>
    <w:rsid w:val="00EB167E"/>
    <w:rsid w:val="00EB24ED"/>
    <w:rsid w:val="00EB2A00"/>
    <w:rsid w:val="00EB2A3F"/>
    <w:rsid w:val="00EB309B"/>
    <w:rsid w:val="00EB3AA2"/>
    <w:rsid w:val="00EB4763"/>
    <w:rsid w:val="00EB6CB7"/>
    <w:rsid w:val="00EC078B"/>
    <w:rsid w:val="00EC07A0"/>
    <w:rsid w:val="00EC08E4"/>
    <w:rsid w:val="00EC1A23"/>
    <w:rsid w:val="00EC3CB4"/>
    <w:rsid w:val="00EC3D5B"/>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311C"/>
    <w:rsid w:val="00EE56FF"/>
    <w:rsid w:val="00EE5886"/>
    <w:rsid w:val="00EE5FBF"/>
    <w:rsid w:val="00EE6472"/>
    <w:rsid w:val="00EE76F2"/>
    <w:rsid w:val="00EF0769"/>
    <w:rsid w:val="00EF0D7C"/>
    <w:rsid w:val="00EF1AB6"/>
    <w:rsid w:val="00EF40E2"/>
    <w:rsid w:val="00EF5FB9"/>
    <w:rsid w:val="00EF61C1"/>
    <w:rsid w:val="00EF6E68"/>
    <w:rsid w:val="00EF76DB"/>
    <w:rsid w:val="00F005FD"/>
    <w:rsid w:val="00F024E2"/>
    <w:rsid w:val="00F02C04"/>
    <w:rsid w:val="00F03AF1"/>
    <w:rsid w:val="00F04BCD"/>
    <w:rsid w:val="00F05A8C"/>
    <w:rsid w:val="00F06211"/>
    <w:rsid w:val="00F10A54"/>
    <w:rsid w:val="00F10D35"/>
    <w:rsid w:val="00F123D0"/>
    <w:rsid w:val="00F13200"/>
    <w:rsid w:val="00F13411"/>
    <w:rsid w:val="00F143BA"/>
    <w:rsid w:val="00F14D98"/>
    <w:rsid w:val="00F170BB"/>
    <w:rsid w:val="00F2081B"/>
    <w:rsid w:val="00F20A43"/>
    <w:rsid w:val="00F20C51"/>
    <w:rsid w:val="00F21049"/>
    <w:rsid w:val="00F218AE"/>
    <w:rsid w:val="00F22232"/>
    <w:rsid w:val="00F2228E"/>
    <w:rsid w:val="00F22D3C"/>
    <w:rsid w:val="00F23D66"/>
    <w:rsid w:val="00F24E6F"/>
    <w:rsid w:val="00F24EEB"/>
    <w:rsid w:val="00F26069"/>
    <w:rsid w:val="00F26B7E"/>
    <w:rsid w:val="00F27D7D"/>
    <w:rsid w:val="00F3002B"/>
    <w:rsid w:val="00F30BC9"/>
    <w:rsid w:val="00F31E57"/>
    <w:rsid w:val="00F32462"/>
    <w:rsid w:val="00F32FF7"/>
    <w:rsid w:val="00F33EDE"/>
    <w:rsid w:val="00F3568B"/>
    <w:rsid w:val="00F377CD"/>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25"/>
    <w:rsid w:val="00F82FF3"/>
    <w:rsid w:val="00F8453C"/>
    <w:rsid w:val="00F84D4C"/>
    <w:rsid w:val="00F8657D"/>
    <w:rsid w:val="00F8730F"/>
    <w:rsid w:val="00F87631"/>
    <w:rsid w:val="00F87DA3"/>
    <w:rsid w:val="00F90004"/>
    <w:rsid w:val="00F90EF4"/>
    <w:rsid w:val="00F917BF"/>
    <w:rsid w:val="00F920B4"/>
    <w:rsid w:val="00F9260D"/>
    <w:rsid w:val="00F92727"/>
    <w:rsid w:val="00F93CCF"/>
    <w:rsid w:val="00F94307"/>
    <w:rsid w:val="00F9580B"/>
    <w:rsid w:val="00F95F15"/>
    <w:rsid w:val="00F968C6"/>
    <w:rsid w:val="00F975CA"/>
    <w:rsid w:val="00FA0B60"/>
    <w:rsid w:val="00FA2528"/>
    <w:rsid w:val="00FA5535"/>
    <w:rsid w:val="00FA7206"/>
    <w:rsid w:val="00FA7E01"/>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C7223"/>
    <w:rsid w:val="00FD0F60"/>
    <w:rsid w:val="00FD13EA"/>
    <w:rsid w:val="00FD5EC4"/>
    <w:rsid w:val="00FD7858"/>
    <w:rsid w:val="00FD7A8D"/>
    <w:rsid w:val="00FE1330"/>
    <w:rsid w:val="00FE1CE5"/>
    <w:rsid w:val="00FE2832"/>
    <w:rsid w:val="00FE2D38"/>
    <w:rsid w:val="00FE3929"/>
    <w:rsid w:val="00FE40D3"/>
    <w:rsid w:val="00FE624E"/>
    <w:rsid w:val="00FE6577"/>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1B88CD27"/>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1A2"/>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Cha"/>
    <w:basedOn w:val="Normal"/>
    <w:link w:val="FootnoteTextChar"/>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Cha Char"/>
    <w:link w:val="FootnoteText"/>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492B3A"/>
    <w:pPr>
      <w:numPr>
        <w:numId w:val="37"/>
      </w:num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492B3A"/>
    <w:rPr>
      <w:rFonts w:asciiTheme="minorHAnsi" w:eastAsiaTheme="minorEastAsia" w:hAnsiTheme="minorHAnsi" w:cstheme="minorBidi"/>
      <w:b/>
      <w:sz w:val="22"/>
      <w:lang w:eastAsia="en-US"/>
    </w:rPr>
  </w:style>
  <w:style w:type="paragraph" w:styleId="Subtitle">
    <w:name w:val="Subtitle"/>
    <w:basedOn w:val="Normal"/>
    <w:next w:val="Normal"/>
    <w:link w:val="Subtitle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itleChar">
    <w:name w:val="Subtitle Char"/>
    <w:basedOn w:val="DefaultParagraphFont"/>
    <w:link w:val="Subtitle"/>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Paragraph"/>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DefaultParagraphFon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DefaultParagraphFont"/>
    <w:link w:val="myNormal0"/>
    <w:locked/>
    <w:rsid w:val="00AF38AF"/>
    <w:rPr>
      <w:rFonts w:ascii="Georgia" w:hAnsi="Georgia"/>
      <w:lang w:eastAsia="de-DE"/>
    </w:rPr>
  </w:style>
  <w:style w:type="paragraph" w:customStyle="1" w:styleId="myNormal0">
    <w:name w:val="myNormal"/>
    <w:basedOn w:val="Normal"/>
    <w:link w:val="myNormalChar0"/>
    <w:rsid w:val="00AF38AF"/>
    <w:pPr>
      <w:tabs>
        <w:tab w:val="num" w:pos="360"/>
      </w:tabs>
      <w:spacing w:after="250" w:line="276" w:lineRule="auto"/>
      <w:jc w:val="both"/>
    </w:pPr>
    <w:rPr>
      <w:rFonts w:ascii="Georgia" w:hAnsi="Georgia"/>
      <w:szCs w:val="20"/>
    </w:rPr>
  </w:style>
  <w:style w:type="paragraph" w:customStyle="1" w:styleId="Paragraph">
    <w:name w:val="Paragraph"/>
    <w:basedOn w:val="Normal"/>
    <w:link w:val="ParagraphChar"/>
    <w:qFormat/>
    <w:rsid w:val="00106124"/>
    <w:pPr>
      <w:spacing w:before="120" w:after="120" w:line="276" w:lineRule="auto"/>
      <w:ind w:left="360" w:hanging="360"/>
      <w:jc w:val="both"/>
    </w:pPr>
    <w:rPr>
      <w:rFonts w:asciiTheme="minorHAnsi" w:hAnsiTheme="minorHAnsi"/>
      <w:sz w:val="22"/>
      <w:szCs w:val="20"/>
      <w:lang w:eastAsia="en-US"/>
    </w:rPr>
  </w:style>
  <w:style w:type="character" w:customStyle="1" w:styleId="ParagraphChar">
    <w:name w:val="Paragraph Char"/>
    <w:link w:val="Paragraph"/>
    <w:locked/>
    <w:rsid w:val="00106124"/>
    <w:rPr>
      <w:rFonts w:asciiTheme="minorHAns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68493509">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30759119">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15711491">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292249008">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esma.europa.eu/about-esma/data-protectio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sma.europa.e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B5125868DD164F979D685E1741D1BD" ma:contentTypeVersion="11" ma:contentTypeDescription="Create a new document." ma:contentTypeScope="" ma:versionID="b05f5fa37eb6afe153f036bce8fdaf17">
  <xsd:schema xmlns:xsd="http://www.w3.org/2001/XMLSchema" xmlns:xs="http://www.w3.org/2001/XMLSchema" xmlns:p="http://schemas.microsoft.com/office/2006/metadata/properties" xmlns:ns2="cd8cd0e2-fecb-441a-a76e-fb96239463f3" xmlns:ns3="9b28cc91-a3f8-438f-9a63-82fef7b65873" targetNamespace="http://schemas.microsoft.com/office/2006/metadata/properties" ma:root="true" ma:fieldsID="c26193aab30299b970cc135f1a1f57cd" ns2:_="" ns3:_="">
    <xsd:import namespace="cd8cd0e2-fecb-441a-a76e-fb96239463f3"/>
    <xsd:import namespace="9b28cc91-a3f8-438f-9a63-82fef7b658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cd0e2-fecb-441a-a76e-fb9623946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8cc91-a3f8-438f-9a63-82fef7b658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D1AF0-A89F-43B0-9F8C-0C6B56ED8588}">
  <ds:schemaRefs>
    <ds:schemaRef ds:uri="http://schemas.openxmlformats.org/officeDocument/2006/bibliography"/>
  </ds:schemaRefs>
</ds:datastoreItem>
</file>

<file path=customXml/itemProps2.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3.xml><?xml version="1.0" encoding="utf-8"?>
<ds:datastoreItem xmlns:ds="http://schemas.openxmlformats.org/officeDocument/2006/customXml" ds:itemID="{A1823ED9-4C25-4A0F-AA35-0F2F3F3B90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63D0DD-9B60-42DC-84AF-015F8467A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cd0e2-fecb-441a-a76e-fb96239463f3"/>
    <ds:schemaRef ds:uri="9b28cc91-a3f8-438f-9a63-82fef7b65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F0B5A2-D6CE-4251-B5B3-8185936F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2670</Words>
  <Characters>15225</Characters>
  <Application>Microsoft Office Word</Application>
  <DocSecurity>8</DocSecurity>
  <Lines>126</Lines>
  <Paragraphs>35</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TR portability CP under EMIR</vt:lpstr>
      <vt:lpstr>20110000</vt:lpstr>
      <vt:lpstr>20110000</vt:lpstr>
      <vt:lpstr>20110000</vt:lpstr>
      <vt:lpstr>20110000</vt:lpstr>
    </vt:vector>
  </TitlesOfParts>
  <Company>ESMA</Company>
  <LinksUpToDate>false</LinksUpToDate>
  <CharactersWithSpaces>17860</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Rutger Vijgen</cp:lastModifiedBy>
  <cp:revision>19</cp:revision>
  <cp:lastPrinted>2015-02-18T11:01:00Z</cp:lastPrinted>
  <dcterms:created xsi:type="dcterms:W3CDTF">2021-12-21T12:44:00Z</dcterms:created>
  <dcterms:modified xsi:type="dcterms:W3CDTF">2021-12-22T14:46:00Z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TeamName">
    <vt:lpwstr>30;#Investor Protection and Intermediaries|98c55de3-414a-4dc7-97ca-58b003cd9a35</vt:lpwstr>
  </property>
  <property fmtid="{D5CDD505-2E9C-101B-9397-08002B2CF9AE}" pid="4" name="Topic">
    <vt:lpwstr>309;#Sustainable Finance|2b3d71a9-35a3-4434-9d75-bd09a37940bf</vt:lpwstr>
  </property>
  <property fmtid="{D5CDD505-2E9C-101B-9397-08002B2CF9AE}" pid="5" name="SubTopic">
    <vt:lpwstr>211;#ESAs|fa72426c-f4c1-4de0-83a0-2806812bd296</vt:lpwstr>
  </property>
  <property fmtid="{D5CDD505-2E9C-101B-9397-08002B2CF9AE}" pid="6" name="DocumentType">
    <vt:lpwstr>49;#Questionnaire|a849d609-a31c-415e-a1a8-503bcc16b083</vt:lpwstr>
  </property>
  <property fmtid="{D5CDD505-2E9C-101B-9397-08002B2CF9AE}" pid="7" name="ConfidentialityLevel">
    <vt:lpwstr>62;#Public|a0c619ff-bd46-48f0-b213-6b7c03fe156d</vt:lpwstr>
  </property>
  <property fmtid="{D5CDD505-2E9C-101B-9397-08002B2CF9AE}" pid="8" name="_dlc_DocIdItemGuid">
    <vt:lpwstr>8fb716ed-9d55-4b9a-8e94-42b55d51da19</vt:lpwstr>
  </property>
  <property fmtid="{D5CDD505-2E9C-101B-9397-08002B2CF9AE}" pid="9" name="f73b170dc53b40b9aa315b795e235780">
    <vt:lpwstr>Post-Trading|edaa1ce6-4b9b-4aac-a462-2b226ce43f53</vt:lpwstr>
  </property>
  <property fmtid="{D5CDD505-2E9C-101B-9397-08002B2CF9AE}" pid="10" name="ebe96076533d4a3ebf64abfb595c8cab">
    <vt:lpwstr>TRs|fa921b24-005b-470e-8d84-860d1c02e2c4</vt:lpwstr>
  </property>
  <property fmtid="{D5CDD505-2E9C-101B-9397-08002B2CF9AE}" pid="11" name="k2a4e0e239ca426ba867042d07636a92">
    <vt:lpwstr>Consultation Paper|c6238baf-c3d7-4bb8-8cf2-f28a89601f52</vt:lpwstr>
  </property>
  <property fmtid="{D5CDD505-2E9C-101B-9397-08002B2CF9AE}" pid="12" name="l41428f617fd44458265420e00c85298">
    <vt:lpwstr>Restricted|187aa7e6-627f-4951-b138-6ff841dc883d</vt:lpwstr>
  </property>
  <property fmtid="{D5CDD505-2E9C-101B-9397-08002B2CF9AE}" pid="13" name="TaxCatchAll">
    <vt:lpwstr>4;#Post-Trading|edaa1ce6-4b9b-4aac-a462-2b226ce43f53;#24;#TRs|fa921b24-005b-470e-8d84-860d1c02e2c4;#2;#Restricted|187aa7e6-627f-4951-b138-6ff841dc883d;#91;#Consultation Paper|c6238baf-c3d7-4bb8-8cf2-f28a89601f52</vt:lpwstr>
  </property>
  <property fmtid="{D5CDD505-2E9C-101B-9397-08002B2CF9AE}" pid="14" name="ec60598a2cb14c5fbb15899e6f9fdcae">
    <vt:lpwstr/>
  </property>
  <property fmtid="{D5CDD505-2E9C-101B-9397-08002B2CF9AE}" pid="15" name="InternalStakeholders">
    <vt:lpwstr/>
  </property>
  <property fmtid="{D5CDD505-2E9C-101B-9397-08002B2CF9AE}" pid="16" name="ExternalStakeholders">
    <vt:lpwstr/>
  </property>
  <property fmtid="{D5CDD505-2E9C-101B-9397-08002B2CF9AE}" pid="17" name="StatusOfLegislation">
    <vt:lpwstr/>
  </property>
  <property fmtid="{D5CDD505-2E9C-101B-9397-08002B2CF9AE}" pid="18" name="TeamTopic">
    <vt:lpwstr>125;#Other Work|8e467236-62cb-4258-b359-81b56229d8cf</vt:lpwstr>
  </property>
  <property fmtid="{D5CDD505-2E9C-101B-9397-08002B2CF9AE}" pid="19" name="ContentTypeId">
    <vt:lpwstr>0x0101003BB5125868DD164F979D685E1741D1BD</vt:lpwstr>
  </property>
</Properties>
</file>