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CE" w:rsidRDefault="005D45CE" w:rsidP="005D45CE">
      <w:pPr>
        <w:rPr>
          <w:rFonts w:ascii="Arial" w:hAnsi="Arial" w:cs="Arial"/>
        </w:rPr>
      </w:pPr>
    </w:p>
    <w:p w:rsidR="005D45CE" w:rsidRDefault="005D45CE" w:rsidP="005D45CE">
      <w:pPr>
        <w:jc w:val="center"/>
        <w:rPr>
          <w:rFonts w:ascii="Arial" w:hAnsi="Arial" w:cs="Arial"/>
          <w:sz w:val="48"/>
          <w:szCs w:val="48"/>
        </w:rPr>
      </w:pPr>
    </w:p>
    <w:p w:rsidR="005D45CE" w:rsidRDefault="00CD2C07" w:rsidP="005D45CE">
      <w:pPr>
        <w:jc w:val="center"/>
        <w:rPr>
          <w:rFonts w:ascii="Arial" w:hAnsi="Arial" w:cs="Arial"/>
          <w:sz w:val="48"/>
          <w:szCs w:val="48"/>
        </w:rPr>
      </w:pPr>
      <w:r w:rsidRPr="00677B13">
        <w:rPr>
          <w:rFonts w:cs="Arial"/>
          <w:b/>
          <w:noProof/>
          <w:color w:val="333333"/>
          <w:sz w:val="44"/>
          <w:szCs w:val="44"/>
        </w:rPr>
        <w:drawing>
          <wp:inline distT="0" distB="0" distL="0" distR="0">
            <wp:extent cx="2800350" cy="1752600"/>
            <wp:effectExtent l="0" t="0" r="0" b="0"/>
            <wp:docPr id="2" name="Picture 2" descr="ICE Trad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E Trade Va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752600"/>
                    </a:xfrm>
                    <a:prstGeom prst="rect">
                      <a:avLst/>
                    </a:prstGeom>
                    <a:noFill/>
                    <a:ln>
                      <a:noFill/>
                    </a:ln>
                  </pic:spPr>
                </pic:pic>
              </a:graphicData>
            </a:graphic>
          </wp:inline>
        </w:drawing>
      </w:r>
    </w:p>
    <w:p w:rsidR="005D45CE" w:rsidRDefault="005D45CE" w:rsidP="00CD2C07">
      <w:pPr>
        <w:rPr>
          <w:rFonts w:ascii="Arial" w:hAnsi="Arial" w:cs="Arial"/>
          <w:sz w:val="48"/>
          <w:szCs w:val="48"/>
        </w:rPr>
      </w:pPr>
    </w:p>
    <w:p w:rsidR="00CD2C07" w:rsidRDefault="00CD2C07" w:rsidP="00CD2C07">
      <w:pPr>
        <w:spacing w:before="120" w:after="120"/>
        <w:jc w:val="center"/>
        <w:rPr>
          <w:rFonts w:cs="Arial"/>
          <w:b/>
          <w:bCs/>
          <w:color w:val="333333"/>
          <w:sz w:val="44"/>
          <w:szCs w:val="44"/>
        </w:rPr>
      </w:pPr>
      <w:r>
        <w:rPr>
          <w:rFonts w:cs="Arial"/>
          <w:b/>
          <w:bCs/>
          <w:color w:val="333333"/>
          <w:sz w:val="44"/>
          <w:szCs w:val="44"/>
        </w:rPr>
        <w:t>ICE Trade Vau</w:t>
      </w:r>
      <w:r w:rsidR="00641249">
        <w:rPr>
          <w:rFonts w:cs="Arial"/>
          <w:b/>
          <w:bCs/>
          <w:color w:val="333333"/>
          <w:sz w:val="44"/>
          <w:szCs w:val="44"/>
        </w:rPr>
        <w:t>lt - FIA Disaster Recovery Test Cases</w:t>
      </w:r>
    </w:p>
    <w:p w:rsidR="00CD2C07" w:rsidRPr="00677B13" w:rsidRDefault="004A1917" w:rsidP="00CD2C07">
      <w:pPr>
        <w:pStyle w:val="Header"/>
        <w:spacing w:before="120" w:after="120"/>
        <w:jc w:val="center"/>
        <w:rPr>
          <w:rFonts w:cs="Arial"/>
          <w:b/>
          <w:bCs/>
          <w:color w:val="808080"/>
          <w:sz w:val="32"/>
          <w:szCs w:val="32"/>
        </w:rPr>
      </w:pPr>
      <w:r>
        <w:rPr>
          <w:rFonts w:cs="Arial"/>
          <w:b/>
          <w:bCs/>
          <w:color w:val="808080"/>
          <w:sz w:val="32"/>
          <w:szCs w:val="32"/>
        </w:rPr>
        <w:t>Octob</w:t>
      </w:r>
      <w:r w:rsidR="00E149C4">
        <w:rPr>
          <w:rFonts w:cs="Arial"/>
          <w:b/>
          <w:bCs/>
          <w:color w:val="808080"/>
          <w:sz w:val="32"/>
          <w:szCs w:val="32"/>
        </w:rPr>
        <w:t>er 24</w:t>
      </w:r>
      <w:r w:rsidR="00E149C4" w:rsidRPr="00E149C4">
        <w:rPr>
          <w:rFonts w:cs="Arial"/>
          <w:b/>
          <w:bCs/>
          <w:color w:val="808080"/>
          <w:sz w:val="32"/>
          <w:szCs w:val="32"/>
          <w:vertAlign w:val="superscript"/>
        </w:rPr>
        <w:t>th</w:t>
      </w:r>
      <w:r w:rsidR="00E149C4">
        <w:rPr>
          <w:rFonts w:cs="Arial"/>
          <w:b/>
          <w:bCs/>
          <w:color w:val="808080"/>
          <w:sz w:val="32"/>
          <w:szCs w:val="32"/>
        </w:rPr>
        <w:t>, 2020</w:t>
      </w:r>
    </w:p>
    <w:p w:rsidR="005D45CE" w:rsidRDefault="005D45CE" w:rsidP="005D45CE">
      <w:pPr>
        <w:jc w:val="center"/>
        <w:rPr>
          <w:rFonts w:ascii="Arial" w:hAnsi="Arial" w:cs="Arial"/>
          <w:sz w:val="72"/>
          <w:szCs w:val="72"/>
        </w:rPr>
      </w:pPr>
    </w:p>
    <w:p w:rsidR="009C6485" w:rsidRDefault="009C6485">
      <w:pPr>
        <w:rPr>
          <w:rFonts w:ascii="Arial" w:hAnsi="Arial" w:cs="Arial"/>
          <w:sz w:val="48"/>
          <w:szCs w:val="48"/>
        </w:rPr>
      </w:pPr>
      <w:r>
        <w:rPr>
          <w:rFonts w:ascii="Arial" w:hAnsi="Arial" w:cs="Arial"/>
          <w:sz w:val="48"/>
          <w:szCs w:val="48"/>
        </w:rPr>
        <w:br w:type="page"/>
      </w:r>
    </w:p>
    <w:p w:rsidR="005D45CE" w:rsidRDefault="00CD2C07" w:rsidP="00155B11">
      <w:pPr>
        <w:pStyle w:val="Title"/>
        <w:outlineLvl w:val="0"/>
      </w:pPr>
      <w:bookmarkStart w:id="0" w:name="_Toc489348463"/>
      <w:r>
        <w:lastRenderedPageBreak/>
        <w:t xml:space="preserve">ICE Trade Vault </w:t>
      </w:r>
      <w:r w:rsidR="009C6485">
        <w:t>Applications</w:t>
      </w:r>
      <w:bookmarkEnd w:id="0"/>
    </w:p>
    <w:p w:rsidR="009A74D0" w:rsidRPr="009A74D0" w:rsidRDefault="009A74D0" w:rsidP="009A74D0">
      <w:pPr>
        <w:pStyle w:val="Heading2"/>
        <w:rPr>
          <w:b w:val="0"/>
          <w:color w:val="auto"/>
          <w:sz w:val="24"/>
          <w:szCs w:val="24"/>
        </w:rPr>
      </w:pPr>
      <w:r w:rsidRPr="009A74D0">
        <w:rPr>
          <w:b w:val="0"/>
          <w:color w:val="auto"/>
          <w:sz w:val="24"/>
          <w:szCs w:val="24"/>
        </w:rPr>
        <w:t>This document</w:t>
      </w:r>
      <w:r w:rsidR="005114E4" w:rsidRPr="009A74D0">
        <w:rPr>
          <w:b w:val="0"/>
          <w:color w:val="auto"/>
          <w:sz w:val="24"/>
          <w:szCs w:val="24"/>
        </w:rPr>
        <w:t xml:space="preserve"> </w:t>
      </w:r>
      <w:r w:rsidRPr="009A74D0">
        <w:rPr>
          <w:b w:val="0"/>
          <w:color w:val="auto"/>
          <w:sz w:val="24"/>
          <w:szCs w:val="24"/>
        </w:rPr>
        <w:t>provides a detailed outline of test cases that can be performed for each application we support and the various methods supported</w:t>
      </w:r>
      <w:r>
        <w:rPr>
          <w:b w:val="0"/>
          <w:color w:val="auto"/>
          <w:sz w:val="24"/>
          <w:szCs w:val="24"/>
        </w:rPr>
        <w:t xml:space="preserve"> to carry out key actions.  For participating clients, please leverage your existing production credentials to access the same URLs you do via GUI or API for Production environment access.  No additional configuration is required to participate and carry out these test scripts.  Participating clients should only concentrate on the specific sections notated below as it pertains to their business workflow in place for eConfirm / Trade Vault applications (i.e. if you do not utilize our API then there is no need to test via API).  Questions and concerns should be raised to </w:t>
      </w:r>
      <w:hyperlink r:id="rId10" w:history="1">
        <w:r w:rsidRPr="00B755AA">
          <w:rPr>
            <w:rStyle w:val="Hyperlink"/>
            <w:b w:val="0"/>
            <w:sz w:val="24"/>
            <w:szCs w:val="24"/>
          </w:rPr>
          <w:t>tradevaultsupport@theice.com</w:t>
        </w:r>
      </w:hyperlink>
      <w:r>
        <w:rPr>
          <w:b w:val="0"/>
          <w:color w:val="auto"/>
          <w:sz w:val="24"/>
          <w:szCs w:val="24"/>
        </w:rPr>
        <w:t xml:space="preserve">. </w:t>
      </w:r>
    </w:p>
    <w:p w:rsidR="009A74D0" w:rsidRDefault="009A74D0" w:rsidP="009A74D0"/>
    <w:p w:rsidR="0010190A" w:rsidRPr="0010190A" w:rsidRDefault="0010190A" w:rsidP="0010190A">
      <w:pPr>
        <w:pStyle w:val="Heading2"/>
        <w:rPr>
          <w:color w:val="1F497D" w:themeColor="text2"/>
          <w:sz w:val="40"/>
          <w:szCs w:val="40"/>
        </w:rPr>
      </w:pPr>
      <w:r>
        <w:rPr>
          <w:color w:val="1F497D" w:themeColor="text2"/>
          <w:sz w:val="40"/>
          <w:szCs w:val="40"/>
        </w:rPr>
        <w:t xml:space="preserve">   GUI</w:t>
      </w:r>
    </w:p>
    <w:tbl>
      <w:tblPr>
        <w:tblStyle w:val="TableGrid"/>
        <w:tblW w:w="0" w:type="auto"/>
        <w:jc w:val="center"/>
        <w:tblLook w:val="04A0" w:firstRow="1" w:lastRow="0" w:firstColumn="1" w:lastColumn="0" w:noHBand="0" w:noVBand="1"/>
      </w:tblPr>
      <w:tblGrid>
        <w:gridCol w:w="2178"/>
        <w:gridCol w:w="4728"/>
        <w:gridCol w:w="3102"/>
        <w:gridCol w:w="1463"/>
        <w:gridCol w:w="2393"/>
      </w:tblGrid>
      <w:tr w:rsidR="00AE45D1" w:rsidTr="0010190A">
        <w:trPr>
          <w:cantSplit/>
          <w:jc w:val="center"/>
        </w:trPr>
        <w:tc>
          <w:tcPr>
            <w:tcW w:w="2178" w:type="dxa"/>
            <w:shd w:val="clear" w:color="auto" w:fill="8DB3E2" w:themeFill="text2" w:themeFillTint="66"/>
            <w:vAlign w:val="center"/>
          </w:tcPr>
          <w:p w:rsidR="00AE45D1" w:rsidRPr="005114E4" w:rsidRDefault="005114E4" w:rsidP="00E2402A">
            <w:pPr>
              <w:jc w:val="center"/>
              <w:rPr>
                <w:sz w:val="24"/>
                <w:szCs w:val="24"/>
              </w:rPr>
            </w:pPr>
            <w:r w:rsidRPr="005114E4">
              <w:rPr>
                <w:sz w:val="24"/>
                <w:szCs w:val="24"/>
              </w:rPr>
              <w:t>TEST CASE ACTION</w:t>
            </w:r>
          </w:p>
        </w:tc>
        <w:tc>
          <w:tcPr>
            <w:tcW w:w="4728" w:type="dxa"/>
            <w:shd w:val="clear" w:color="auto" w:fill="8DB3E2" w:themeFill="text2" w:themeFillTint="66"/>
            <w:vAlign w:val="center"/>
          </w:tcPr>
          <w:p w:rsidR="00AE45D1" w:rsidRPr="005114E4" w:rsidRDefault="00AE45D1" w:rsidP="00E2402A">
            <w:pPr>
              <w:jc w:val="center"/>
              <w:rPr>
                <w:sz w:val="24"/>
                <w:szCs w:val="24"/>
              </w:rPr>
            </w:pPr>
            <w:r w:rsidRPr="005114E4">
              <w:rPr>
                <w:sz w:val="24"/>
                <w:szCs w:val="24"/>
              </w:rPr>
              <w:t>TEST CASE</w:t>
            </w:r>
          </w:p>
        </w:tc>
        <w:tc>
          <w:tcPr>
            <w:tcW w:w="3102" w:type="dxa"/>
            <w:shd w:val="clear" w:color="auto" w:fill="8DB3E2" w:themeFill="text2" w:themeFillTint="66"/>
            <w:vAlign w:val="center"/>
          </w:tcPr>
          <w:p w:rsidR="00AE45D1" w:rsidRPr="005114E4" w:rsidRDefault="00AE45D1" w:rsidP="00E2402A">
            <w:pPr>
              <w:jc w:val="center"/>
              <w:rPr>
                <w:sz w:val="24"/>
                <w:szCs w:val="24"/>
              </w:rPr>
            </w:pPr>
            <w:r w:rsidRPr="005114E4">
              <w:rPr>
                <w:sz w:val="24"/>
                <w:szCs w:val="24"/>
              </w:rPr>
              <w:t>TEST PROVES</w:t>
            </w:r>
          </w:p>
        </w:tc>
        <w:tc>
          <w:tcPr>
            <w:tcW w:w="1463" w:type="dxa"/>
            <w:shd w:val="clear" w:color="auto" w:fill="8DB3E2" w:themeFill="text2" w:themeFillTint="66"/>
            <w:vAlign w:val="center"/>
          </w:tcPr>
          <w:p w:rsidR="00AE45D1" w:rsidRPr="005114E4" w:rsidRDefault="00AE45D1" w:rsidP="00E2402A">
            <w:pPr>
              <w:jc w:val="center"/>
              <w:rPr>
                <w:sz w:val="24"/>
                <w:szCs w:val="24"/>
              </w:rPr>
            </w:pPr>
            <w:r w:rsidRPr="005114E4">
              <w:rPr>
                <w:sz w:val="24"/>
                <w:szCs w:val="24"/>
              </w:rPr>
              <w:t>RESULTS (P/F)</w:t>
            </w:r>
          </w:p>
        </w:tc>
        <w:tc>
          <w:tcPr>
            <w:tcW w:w="2393" w:type="dxa"/>
            <w:shd w:val="clear" w:color="auto" w:fill="8DB3E2" w:themeFill="text2" w:themeFillTint="66"/>
            <w:vAlign w:val="center"/>
          </w:tcPr>
          <w:p w:rsidR="00AE45D1" w:rsidRPr="005114E4" w:rsidRDefault="00AE45D1" w:rsidP="00E2402A">
            <w:pPr>
              <w:jc w:val="center"/>
              <w:rPr>
                <w:sz w:val="24"/>
                <w:szCs w:val="24"/>
              </w:rPr>
            </w:pPr>
            <w:r w:rsidRPr="005114E4">
              <w:rPr>
                <w:sz w:val="24"/>
                <w:szCs w:val="24"/>
              </w:rPr>
              <w:t>TESTER/NOTES</w:t>
            </w:r>
          </w:p>
        </w:tc>
      </w:tr>
      <w:tr w:rsidR="003E03A8" w:rsidTr="0010190A">
        <w:trPr>
          <w:cantSplit/>
          <w:jc w:val="center"/>
        </w:trPr>
        <w:tc>
          <w:tcPr>
            <w:tcW w:w="2178" w:type="dxa"/>
            <w:vAlign w:val="center"/>
          </w:tcPr>
          <w:p w:rsidR="003E03A8" w:rsidRDefault="003E03A8" w:rsidP="00926A1B">
            <w:r>
              <w:t>ICE Trade Vault Homepage</w:t>
            </w:r>
          </w:p>
        </w:tc>
        <w:tc>
          <w:tcPr>
            <w:tcW w:w="4728" w:type="dxa"/>
            <w:vAlign w:val="center"/>
          </w:tcPr>
          <w:p w:rsidR="003E03A8" w:rsidRDefault="003E03A8" w:rsidP="00CD2C07">
            <w:r>
              <w:t xml:space="preserve">Access ICE Trade Vault front-end URL:  </w:t>
            </w:r>
            <w:hyperlink r:id="rId11" w:history="1">
              <w:r w:rsidRPr="00B755AA">
                <w:rPr>
                  <w:rStyle w:val="Hyperlink"/>
                </w:rPr>
                <w:t>www.icetradevault.com</w:t>
              </w:r>
            </w:hyperlink>
            <w:r>
              <w:t xml:space="preserve"> and login with production credentials.  </w:t>
            </w:r>
          </w:p>
        </w:tc>
        <w:tc>
          <w:tcPr>
            <w:tcW w:w="3102" w:type="dxa"/>
            <w:vAlign w:val="center"/>
          </w:tcPr>
          <w:p w:rsidR="003E03A8" w:rsidRDefault="003E03A8" w:rsidP="00CD2C07">
            <w:r>
              <w:t>Validates that the application is up and accessible and can communicate  with SSO</w:t>
            </w:r>
          </w:p>
        </w:tc>
        <w:tc>
          <w:tcPr>
            <w:tcW w:w="1463" w:type="dxa"/>
            <w:vAlign w:val="center"/>
          </w:tcPr>
          <w:p w:rsidR="003E03A8" w:rsidRDefault="003E03A8"/>
        </w:tc>
        <w:tc>
          <w:tcPr>
            <w:tcW w:w="2393" w:type="dxa"/>
            <w:vAlign w:val="center"/>
          </w:tcPr>
          <w:p w:rsidR="003E03A8" w:rsidRDefault="003E03A8"/>
        </w:tc>
      </w:tr>
      <w:tr w:rsidR="00AE45D1" w:rsidTr="0010190A">
        <w:trPr>
          <w:cantSplit/>
          <w:jc w:val="center"/>
        </w:trPr>
        <w:tc>
          <w:tcPr>
            <w:tcW w:w="2178" w:type="dxa"/>
            <w:vAlign w:val="center"/>
          </w:tcPr>
          <w:p w:rsidR="00AE45D1" w:rsidRDefault="00CD2C07" w:rsidP="00926A1B">
            <w:r>
              <w:t>eConfirm GUI</w:t>
            </w:r>
          </w:p>
        </w:tc>
        <w:tc>
          <w:tcPr>
            <w:tcW w:w="4728" w:type="dxa"/>
            <w:vAlign w:val="center"/>
          </w:tcPr>
          <w:p w:rsidR="00AE45D1" w:rsidRDefault="00CD2C07" w:rsidP="00CD2C07">
            <w:r>
              <w:t>Launch eConfirm from</w:t>
            </w:r>
            <w:r w:rsidR="005E3018">
              <w:t xml:space="preserve"> the Menu</w:t>
            </w:r>
            <w:r>
              <w:t xml:space="preserve"> dropdown and navigate thru various tabs within the application executing query searches or extracting exports.</w:t>
            </w:r>
            <w:r w:rsidR="005E3018">
              <w:t xml:space="preserve"> This includes:</w:t>
            </w:r>
          </w:p>
          <w:p w:rsidR="005E3018" w:rsidRDefault="005E3018" w:rsidP="005E3018">
            <w:pPr>
              <w:pStyle w:val="ListParagraph"/>
              <w:numPr>
                <w:ilvl w:val="0"/>
                <w:numId w:val="4"/>
              </w:numPr>
            </w:pPr>
            <w:r>
              <w:t>Confirm Summary tab export(s)</w:t>
            </w:r>
          </w:p>
          <w:p w:rsidR="005E3018" w:rsidRDefault="005E3018" w:rsidP="005E3018">
            <w:pPr>
              <w:pStyle w:val="ListParagraph"/>
              <w:numPr>
                <w:ilvl w:val="0"/>
                <w:numId w:val="4"/>
              </w:numPr>
            </w:pPr>
            <w:r>
              <w:t>Product Guide export(s)</w:t>
            </w:r>
          </w:p>
          <w:p w:rsidR="003E03A8" w:rsidRDefault="003E03A8" w:rsidP="005E3018">
            <w:pPr>
              <w:pStyle w:val="ListParagraph"/>
              <w:numPr>
                <w:ilvl w:val="0"/>
                <w:numId w:val="4"/>
              </w:numPr>
            </w:pPr>
            <w:r>
              <w:t>Failure Log export(s)</w:t>
            </w:r>
          </w:p>
          <w:p w:rsidR="005E3018" w:rsidRDefault="005E3018" w:rsidP="00CD2C07"/>
        </w:tc>
        <w:tc>
          <w:tcPr>
            <w:tcW w:w="3102" w:type="dxa"/>
            <w:vAlign w:val="center"/>
          </w:tcPr>
          <w:p w:rsidR="00AE45D1" w:rsidRDefault="00C9422A" w:rsidP="00CD2C07">
            <w:r>
              <w:t xml:space="preserve">Validates </w:t>
            </w:r>
            <w:r w:rsidR="00CD2C07">
              <w:t xml:space="preserve">client can successfully access GUI without connection issues and can execute actions in GUI without delay or issue.  </w:t>
            </w:r>
          </w:p>
        </w:tc>
        <w:tc>
          <w:tcPr>
            <w:tcW w:w="1463" w:type="dxa"/>
            <w:vAlign w:val="center"/>
          </w:tcPr>
          <w:p w:rsidR="00AE45D1" w:rsidRDefault="00AE45D1"/>
        </w:tc>
        <w:tc>
          <w:tcPr>
            <w:tcW w:w="2393" w:type="dxa"/>
            <w:vAlign w:val="center"/>
          </w:tcPr>
          <w:p w:rsidR="00AE45D1" w:rsidRDefault="00AE45D1"/>
        </w:tc>
      </w:tr>
      <w:tr w:rsidR="00C9422A" w:rsidTr="0010190A">
        <w:trPr>
          <w:cantSplit/>
          <w:jc w:val="center"/>
        </w:trPr>
        <w:tc>
          <w:tcPr>
            <w:tcW w:w="2178" w:type="dxa"/>
            <w:vAlign w:val="center"/>
          </w:tcPr>
          <w:p w:rsidR="00C9422A" w:rsidRDefault="00CD2C07" w:rsidP="00E055B3">
            <w:r>
              <w:t xml:space="preserve">Trade Vault US GUI </w:t>
            </w:r>
          </w:p>
          <w:p w:rsidR="00CD2C07" w:rsidRDefault="00CD2C07" w:rsidP="00E055B3">
            <w:r>
              <w:t>Trade Vault CA GUI</w:t>
            </w:r>
          </w:p>
          <w:p w:rsidR="00CD2C07" w:rsidRDefault="00CD2C07" w:rsidP="00E055B3">
            <w:r>
              <w:t>Trade Vault EMIR GUI</w:t>
            </w:r>
          </w:p>
          <w:p w:rsidR="00CD2C07" w:rsidRDefault="00CD2C07" w:rsidP="00E055B3">
            <w:r>
              <w:t>Trade Vault RRM GUI</w:t>
            </w:r>
          </w:p>
        </w:tc>
        <w:tc>
          <w:tcPr>
            <w:tcW w:w="4728" w:type="dxa"/>
            <w:vAlign w:val="center"/>
          </w:tcPr>
          <w:p w:rsidR="00C9422A" w:rsidRDefault="005E3018" w:rsidP="00E055B3">
            <w:r w:rsidRPr="00617C90">
              <w:t xml:space="preserve">Access ICE Trade Vault front-end URL:  </w:t>
            </w:r>
            <w:hyperlink r:id="rId12" w:history="1">
              <w:r w:rsidRPr="00617C90">
                <w:rPr>
                  <w:rStyle w:val="Hyperlink"/>
                </w:rPr>
                <w:t>www.icetradevault.com</w:t>
              </w:r>
            </w:hyperlink>
            <w:r w:rsidRPr="00617C90">
              <w:t xml:space="preserve"> and login with production credentials.</w:t>
            </w:r>
            <w:r>
              <w:t xml:space="preserve">  Launch a Trade Vault silo from the Menu dropdown and navigate thru various tabs within the application executing query searches or extracting exports.</w:t>
            </w:r>
          </w:p>
        </w:tc>
        <w:tc>
          <w:tcPr>
            <w:tcW w:w="3102" w:type="dxa"/>
            <w:vAlign w:val="center"/>
          </w:tcPr>
          <w:p w:rsidR="00C9422A" w:rsidRDefault="00C9422A" w:rsidP="00C3244E">
            <w:r>
              <w:t xml:space="preserve">Validates that the application is up and accessible </w:t>
            </w:r>
            <w:r w:rsidR="003E03A8">
              <w:t xml:space="preserve">and either methods of submission (Trade Entry, File Upload, </w:t>
            </w:r>
            <w:proofErr w:type="gramStart"/>
            <w:r w:rsidR="003E03A8">
              <w:t>API</w:t>
            </w:r>
            <w:proofErr w:type="gramEnd"/>
            <w:r w:rsidR="003E03A8">
              <w:t xml:space="preserve">) support reporting trades to a given TV repository. </w:t>
            </w:r>
          </w:p>
        </w:tc>
        <w:tc>
          <w:tcPr>
            <w:tcW w:w="1463" w:type="dxa"/>
            <w:vAlign w:val="center"/>
          </w:tcPr>
          <w:p w:rsidR="00C9422A" w:rsidRDefault="00C9422A"/>
        </w:tc>
        <w:tc>
          <w:tcPr>
            <w:tcW w:w="2393" w:type="dxa"/>
            <w:vAlign w:val="center"/>
          </w:tcPr>
          <w:p w:rsidR="00C9422A" w:rsidRDefault="00C9422A"/>
        </w:tc>
      </w:tr>
      <w:tr w:rsidR="00C9422A" w:rsidTr="0010190A">
        <w:trPr>
          <w:cantSplit/>
          <w:jc w:val="center"/>
        </w:trPr>
        <w:tc>
          <w:tcPr>
            <w:tcW w:w="2178" w:type="dxa"/>
            <w:vAlign w:val="center"/>
          </w:tcPr>
          <w:p w:rsidR="00C9422A" w:rsidRDefault="005E3018" w:rsidP="00E055B3">
            <w:r>
              <w:lastRenderedPageBreak/>
              <w:t>eConfirm File Upload</w:t>
            </w:r>
          </w:p>
        </w:tc>
        <w:tc>
          <w:tcPr>
            <w:tcW w:w="4728" w:type="dxa"/>
            <w:vAlign w:val="center"/>
          </w:tcPr>
          <w:p w:rsidR="00C9422A" w:rsidRDefault="00617C90" w:rsidP="00617C90">
            <w:r>
              <w:t xml:space="preserve">Access ICE Trade Vault front-end URL:  </w:t>
            </w:r>
            <w:hyperlink r:id="rId13" w:history="1">
              <w:r w:rsidRPr="00B755AA">
                <w:rPr>
                  <w:rStyle w:val="Hyperlink"/>
                </w:rPr>
                <w:t>www.icetradevault.com</w:t>
              </w:r>
            </w:hyperlink>
            <w:r>
              <w:t xml:space="preserve"> and login with production credentials.   Launch eConfirm and navigate to the ‘</w:t>
            </w:r>
            <w:r w:rsidR="003E03A8">
              <w:t xml:space="preserve">File </w:t>
            </w:r>
            <w:r>
              <w:t xml:space="preserve">Upload’ tab in Data Submission to submit your .TXT or .CSV allowing you to submit deals to eConfirm. </w:t>
            </w:r>
          </w:p>
        </w:tc>
        <w:tc>
          <w:tcPr>
            <w:tcW w:w="3102" w:type="dxa"/>
            <w:vAlign w:val="center"/>
          </w:tcPr>
          <w:p w:rsidR="00C9422A" w:rsidRDefault="00617C90" w:rsidP="00E055B3">
            <w:r>
              <w:t xml:space="preserve">Validates that the application is up and accessible and the </w:t>
            </w:r>
            <w:r w:rsidR="003E03A8">
              <w:t xml:space="preserve">File Upload </w:t>
            </w:r>
            <w:r>
              <w:t>method is supported via GUI</w:t>
            </w:r>
            <w:r w:rsidR="003E03A8">
              <w:t>.</w:t>
            </w:r>
          </w:p>
        </w:tc>
        <w:tc>
          <w:tcPr>
            <w:tcW w:w="1463" w:type="dxa"/>
            <w:vAlign w:val="center"/>
          </w:tcPr>
          <w:p w:rsidR="00C9422A" w:rsidRDefault="00C9422A"/>
        </w:tc>
        <w:tc>
          <w:tcPr>
            <w:tcW w:w="2393" w:type="dxa"/>
            <w:vAlign w:val="center"/>
          </w:tcPr>
          <w:p w:rsidR="00C9422A" w:rsidRDefault="00C9422A"/>
        </w:tc>
      </w:tr>
      <w:tr w:rsidR="00C9422A" w:rsidTr="0010190A">
        <w:trPr>
          <w:cantSplit/>
          <w:jc w:val="center"/>
        </w:trPr>
        <w:tc>
          <w:tcPr>
            <w:tcW w:w="2178" w:type="dxa"/>
            <w:vAlign w:val="center"/>
          </w:tcPr>
          <w:p w:rsidR="00C9422A" w:rsidRDefault="005E3018" w:rsidP="00E055B3">
            <w:r>
              <w:t>eConfirm Trade Entry</w:t>
            </w:r>
          </w:p>
        </w:tc>
        <w:tc>
          <w:tcPr>
            <w:tcW w:w="4728" w:type="dxa"/>
            <w:vAlign w:val="center"/>
          </w:tcPr>
          <w:p w:rsidR="00C9422A" w:rsidRDefault="00617C90" w:rsidP="004A1917">
            <w:r>
              <w:t xml:space="preserve">Access ICE Trade Vault front-end URL:  </w:t>
            </w:r>
            <w:hyperlink r:id="rId14" w:history="1">
              <w:r w:rsidRPr="00B755AA">
                <w:rPr>
                  <w:rStyle w:val="Hyperlink"/>
                </w:rPr>
                <w:t>www.icetradevault.com</w:t>
              </w:r>
            </w:hyperlink>
            <w:r>
              <w:t xml:space="preserve"> and login with production credentials.   Launch eConfirm and navigate to the ‘Trade Entry’ tab to manually enter the economic terms </w:t>
            </w:r>
            <w:r w:rsidR="003E03A8">
              <w:t xml:space="preserve">under a selected EC Product ID </w:t>
            </w:r>
            <w:r>
              <w:t xml:space="preserve">within the GUI for each trade you are looking to submit.    </w:t>
            </w:r>
          </w:p>
        </w:tc>
        <w:tc>
          <w:tcPr>
            <w:tcW w:w="3102" w:type="dxa"/>
            <w:vAlign w:val="center"/>
          </w:tcPr>
          <w:p w:rsidR="00C9422A" w:rsidRDefault="003E03A8" w:rsidP="00E055B3">
            <w:r>
              <w:t>Validates that the application is up and accessible and the Trade Entry method is supported via GUI.</w:t>
            </w:r>
          </w:p>
        </w:tc>
        <w:tc>
          <w:tcPr>
            <w:tcW w:w="1463" w:type="dxa"/>
            <w:vAlign w:val="center"/>
          </w:tcPr>
          <w:p w:rsidR="00C9422A" w:rsidRDefault="00C9422A"/>
        </w:tc>
        <w:tc>
          <w:tcPr>
            <w:tcW w:w="2393" w:type="dxa"/>
            <w:vAlign w:val="center"/>
          </w:tcPr>
          <w:p w:rsidR="00C9422A" w:rsidRDefault="00C9422A"/>
        </w:tc>
      </w:tr>
      <w:tr w:rsidR="00C9422A" w:rsidTr="0010190A">
        <w:trPr>
          <w:cantSplit/>
          <w:jc w:val="center"/>
        </w:trPr>
        <w:tc>
          <w:tcPr>
            <w:tcW w:w="2178" w:type="dxa"/>
            <w:vAlign w:val="center"/>
          </w:tcPr>
          <w:p w:rsidR="00C9422A" w:rsidRDefault="005E3018" w:rsidP="00E055B3">
            <w:r>
              <w:t>eConfirm Default Values</w:t>
            </w:r>
          </w:p>
        </w:tc>
        <w:tc>
          <w:tcPr>
            <w:tcW w:w="4728" w:type="dxa"/>
            <w:vAlign w:val="center"/>
          </w:tcPr>
          <w:p w:rsidR="00C9422A" w:rsidRDefault="00617C90" w:rsidP="004A1917">
            <w:r>
              <w:t xml:space="preserve">Access ICE Trade Vault front-end URL:  </w:t>
            </w:r>
            <w:hyperlink r:id="rId15" w:history="1">
              <w:r w:rsidRPr="00B755AA">
                <w:rPr>
                  <w:rStyle w:val="Hyperlink"/>
                </w:rPr>
                <w:t>www.icetradevault.com</w:t>
              </w:r>
            </w:hyperlink>
            <w:r>
              <w:t xml:space="preserve"> and login with production credentials.   Launch eConfirm</w:t>
            </w:r>
            <w:r w:rsidR="004A1917">
              <w:t xml:space="preserve"> and navigate</w:t>
            </w:r>
            <w:r>
              <w:t xml:space="preserve"> </w:t>
            </w:r>
            <w:r w:rsidR="004A1917">
              <w:t xml:space="preserve">to the </w:t>
            </w:r>
            <w:r>
              <w:t xml:space="preserve">Default Values tab to create a Default Value for a field at a CP or Product level.  </w:t>
            </w:r>
          </w:p>
        </w:tc>
        <w:tc>
          <w:tcPr>
            <w:tcW w:w="3102" w:type="dxa"/>
            <w:vAlign w:val="center"/>
          </w:tcPr>
          <w:p w:rsidR="00C9422A" w:rsidRDefault="00617C90" w:rsidP="00E055B3">
            <w:r>
              <w:t xml:space="preserve">Validates </w:t>
            </w:r>
            <w:r w:rsidR="00C9422A">
              <w:t xml:space="preserve">UI can communicate with database and </w:t>
            </w:r>
            <w:r>
              <w:t>create /</w:t>
            </w:r>
            <w:r w:rsidR="00C9422A">
              <w:t>update in real time.</w:t>
            </w:r>
          </w:p>
        </w:tc>
        <w:tc>
          <w:tcPr>
            <w:tcW w:w="1463" w:type="dxa"/>
            <w:vAlign w:val="center"/>
          </w:tcPr>
          <w:p w:rsidR="00C9422A" w:rsidRDefault="00C9422A"/>
        </w:tc>
        <w:tc>
          <w:tcPr>
            <w:tcW w:w="2393" w:type="dxa"/>
            <w:vAlign w:val="center"/>
          </w:tcPr>
          <w:p w:rsidR="00C9422A" w:rsidRDefault="00C9422A"/>
        </w:tc>
      </w:tr>
      <w:tr w:rsidR="00B40B0C" w:rsidTr="0010190A">
        <w:trPr>
          <w:cantSplit/>
          <w:jc w:val="center"/>
        </w:trPr>
        <w:tc>
          <w:tcPr>
            <w:tcW w:w="2178" w:type="dxa"/>
            <w:vAlign w:val="center"/>
          </w:tcPr>
          <w:p w:rsidR="00B40B0C" w:rsidRDefault="005E3018" w:rsidP="00E055B3">
            <w:r>
              <w:t>eConfirm Data Mappings</w:t>
            </w:r>
          </w:p>
        </w:tc>
        <w:tc>
          <w:tcPr>
            <w:tcW w:w="4728" w:type="dxa"/>
            <w:vAlign w:val="center"/>
          </w:tcPr>
          <w:p w:rsidR="00B40B0C" w:rsidRDefault="00617C90" w:rsidP="004A1917">
            <w:r>
              <w:t xml:space="preserve">Access ICE Trade Vault front-end URL:  </w:t>
            </w:r>
            <w:hyperlink r:id="rId16" w:history="1">
              <w:r w:rsidRPr="00B755AA">
                <w:rPr>
                  <w:rStyle w:val="Hyperlink"/>
                </w:rPr>
                <w:t>www.icetradevault.com</w:t>
              </w:r>
            </w:hyperlink>
            <w:r>
              <w:t xml:space="preserve"> and login with production credentials.   Launch eConfirm and navigate to the Data Mappings tab to create a </w:t>
            </w:r>
            <w:r w:rsidR="004A1917">
              <w:t xml:space="preserve">Data mapping </w:t>
            </w:r>
            <w:r>
              <w:t xml:space="preserve">for a field at a CP or Product level.  </w:t>
            </w:r>
          </w:p>
        </w:tc>
        <w:tc>
          <w:tcPr>
            <w:tcW w:w="3102" w:type="dxa"/>
            <w:vAlign w:val="center"/>
          </w:tcPr>
          <w:p w:rsidR="00B40B0C" w:rsidRDefault="00617C90" w:rsidP="00E055B3">
            <w:r>
              <w:t>Validates UI can communicate with database and create /update in real time.</w:t>
            </w:r>
          </w:p>
        </w:tc>
        <w:tc>
          <w:tcPr>
            <w:tcW w:w="1463" w:type="dxa"/>
            <w:vAlign w:val="center"/>
          </w:tcPr>
          <w:p w:rsidR="00B40B0C" w:rsidRDefault="00B40B0C"/>
        </w:tc>
        <w:tc>
          <w:tcPr>
            <w:tcW w:w="2393" w:type="dxa"/>
            <w:vAlign w:val="center"/>
          </w:tcPr>
          <w:p w:rsidR="00B40B0C" w:rsidRDefault="00B40B0C"/>
        </w:tc>
      </w:tr>
    </w:tbl>
    <w:p w:rsidR="0010190A" w:rsidRDefault="0010190A" w:rsidP="00ED0480">
      <w:pPr>
        <w:pStyle w:val="Heading2"/>
        <w:rPr>
          <w:color w:val="1F497D" w:themeColor="text2"/>
          <w:sz w:val="40"/>
          <w:szCs w:val="40"/>
        </w:rPr>
      </w:pPr>
    </w:p>
    <w:p w:rsidR="00ED0480" w:rsidRPr="0088429C" w:rsidRDefault="0010190A" w:rsidP="00ED0480">
      <w:pPr>
        <w:pStyle w:val="Heading2"/>
        <w:rPr>
          <w:color w:val="1F497D" w:themeColor="text2"/>
          <w:sz w:val="40"/>
          <w:szCs w:val="40"/>
        </w:rPr>
      </w:pPr>
      <w:r>
        <w:rPr>
          <w:color w:val="1F497D" w:themeColor="text2"/>
          <w:sz w:val="40"/>
          <w:szCs w:val="40"/>
        </w:rPr>
        <w:t xml:space="preserve">   </w:t>
      </w:r>
      <w:r w:rsidR="00CD2C07">
        <w:rPr>
          <w:color w:val="1F497D" w:themeColor="text2"/>
          <w:sz w:val="40"/>
          <w:szCs w:val="40"/>
        </w:rPr>
        <w:t>API</w:t>
      </w:r>
    </w:p>
    <w:tbl>
      <w:tblPr>
        <w:tblStyle w:val="TableGrid"/>
        <w:tblW w:w="0" w:type="auto"/>
        <w:jc w:val="center"/>
        <w:tblLook w:val="04A0" w:firstRow="1" w:lastRow="0" w:firstColumn="1" w:lastColumn="0" w:noHBand="0" w:noVBand="1"/>
      </w:tblPr>
      <w:tblGrid>
        <w:gridCol w:w="3348"/>
        <w:gridCol w:w="3629"/>
        <w:gridCol w:w="3031"/>
        <w:gridCol w:w="1463"/>
        <w:gridCol w:w="71"/>
        <w:gridCol w:w="2322"/>
        <w:gridCol w:w="71"/>
      </w:tblGrid>
      <w:tr w:rsidR="00ED0480" w:rsidTr="0010190A">
        <w:trPr>
          <w:gridAfter w:val="1"/>
          <w:wAfter w:w="71" w:type="dxa"/>
          <w:cantSplit/>
          <w:jc w:val="center"/>
        </w:trPr>
        <w:tc>
          <w:tcPr>
            <w:tcW w:w="3348" w:type="dxa"/>
            <w:shd w:val="clear" w:color="auto" w:fill="8DB3E2" w:themeFill="text2" w:themeFillTint="66"/>
          </w:tcPr>
          <w:p w:rsidR="00ED0480" w:rsidRDefault="005114E4" w:rsidP="00EF778D">
            <w:pPr>
              <w:jc w:val="center"/>
            </w:pPr>
            <w:r>
              <w:t>TEST CASE ACTION</w:t>
            </w:r>
          </w:p>
        </w:tc>
        <w:tc>
          <w:tcPr>
            <w:tcW w:w="3629" w:type="dxa"/>
            <w:shd w:val="clear" w:color="auto" w:fill="8DB3E2" w:themeFill="text2" w:themeFillTint="66"/>
          </w:tcPr>
          <w:p w:rsidR="00ED0480" w:rsidRDefault="00ED0480" w:rsidP="00EF778D">
            <w:pPr>
              <w:jc w:val="center"/>
            </w:pPr>
            <w:r>
              <w:t>TEST CASE</w:t>
            </w:r>
          </w:p>
        </w:tc>
        <w:tc>
          <w:tcPr>
            <w:tcW w:w="3031" w:type="dxa"/>
            <w:shd w:val="clear" w:color="auto" w:fill="8DB3E2" w:themeFill="text2" w:themeFillTint="66"/>
          </w:tcPr>
          <w:p w:rsidR="00ED0480" w:rsidRDefault="00ED0480" w:rsidP="00EF778D">
            <w:pPr>
              <w:jc w:val="center"/>
            </w:pPr>
            <w:r>
              <w:t>TEST PROVES</w:t>
            </w:r>
          </w:p>
        </w:tc>
        <w:tc>
          <w:tcPr>
            <w:tcW w:w="1463" w:type="dxa"/>
            <w:shd w:val="clear" w:color="auto" w:fill="8DB3E2" w:themeFill="text2" w:themeFillTint="66"/>
          </w:tcPr>
          <w:p w:rsidR="00ED0480" w:rsidRDefault="00ED0480" w:rsidP="00EF778D">
            <w:pPr>
              <w:jc w:val="center"/>
            </w:pPr>
            <w:r>
              <w:t>RESULTS (P/F)</w:t>
            </w:r>
          </w:p>
        </w:tc>
        <w:tc>
          <w:tcPr>
            <w:tcW w:w="2393" w:type="dxa"/>
            <w:gridSpan w:val="2"/>
            <w:shd w:val="clear" w:color="auto" w:fill="8DB3E2" w:themeFill="text2" w:themeFillTint="66"/>
          </w:tcPr>
          <w:p w:rsidR="00ED0480" w:rsidRDefault="00ED0480" w:rsidP="00EF778D">
            <w:pPr>
              <w:jc w:val="center"/>
            </w:pPr>
            <w:r>
              <w:t>TESTER/NOTES</w:t>
            </w:r>
          </w:p>
        </w:tc>
      </w:tr>
      <w:tr w:rsidR="00ED0480" w:rsidTr="0010190A">
        <w:trPr>
          <w:cantSplit/>
          <w:trHeight w:val="1547"/>
          <w:jc w:val="center"/>
        </w:trPr>
        <w:tc>
          <w:tcPr>
            <w:tcW w:w="3348" w:type="dxa"/>
            <w:vAlign w:val="center"/>
          </w:tcPr>
          <w:p w:rsidR="00064BFE" w:rsidRDefault="00064BFE" w:rsidP="00EF778D">
            <w:r>
              <w:t xml:space="preserve">REST </w:t>
            </w:r>
            <w:r w:rsidR="003E03A8">
              <w:t xml:space="preserve">GET </w:t>
            </w:r>
            <w:r>
              <w:t>Token (authenticate)</w:t>
            </w:r>
          </w:p>
        </w:tc>
        <w:tc>
          <w:tcPr>
            <w:tcW w:w="3629" w:type="dxa"/>
            <w:vAlign w:val="center"/>
          </w:tcPr>
          <w:p w:rsidR="00ED0480" w:rsidRDefault="00617C90" w:rsidP="00EF778D">
            <w:r>
              <w:t xml:space="preserve">Establish your SSL connection to our server and execute this API call to establish a server-to-server connectivity.  </w:t>
            </w:r>
          </w:p>
        </w:tc>
        <w:tc>
          <w:tcPr>
            <w:tcW w:w="3031" w:type="dxa"/>
            <w:vAlign w:val="center"/>
          </w:tcPr>
          <w:p w:rsidR="00ED0480" w:rsidRDefault="005114E4" w:rsidP="00EF778D">
            <w:r>
              <w:t>Proves</w:t>
            </w:r>
            <w:r w:rsidR="00617C90">
              <w:t xml:space="preserve"> that </w:t>
            </w:r>
            <w:r>
              <w:t>the client’s</w:t>
            </w:r>
            <w:r w:rsidR="00617C90">
              <w:t xml:space="preserve"> application can successfull</w:t>
            </w:r>
            <w:r>
              <w:t>y communicate and connect to ICE allowing for</w:t>
            </w:r>
            <w:r w:rsidR="003E03A8">
              <w:t xml:space="preserve"> retrieval of Session Tokens that can be used for</w:t>
            </w:r>
            <w:r>
              <w:t xml:space="preserve"> the execution of subsequent calls.  </w:t>
            </w:r>
          </w:p>
        </w:tc>
        <w:tc>
          <w:tcPr>
            <w:tcW w:w="1534" w:type="dxa"/>
            <w:gridSpan w:val="2"/>
            <w:vAlign w:val="center"/>
          </w:tcPr>
          <w:p w:rsidR="00ED0480" w:rsidRDefault="00ED0480" w:rsidP="00EF778D"/>
        </w:tc>
        <w:tc>
          <w:tcPr>
            <w:tcW w:w="2393" w:type="dxa"/>
            <w:gridSpan w:val="2"/>
            <w:vAlign w:val="center"/>
          </w:tcPr>
          <w:p w:rsidR="00ED0480" w:rsidRDefault="00ED0480" w:rsidP="00EF778D"/>
        </w:tc>
      </w:tr>
      <w:tr w:rsidR="00ED0480" w:rsidTr="0010190A">
        <w:trPr>
          <w:cantSplit/>
          <w:jc w:val="center"/>
        </w:trPr>
        <w:tc>
          <w:tcPr>
            <w:tcW w:w="3348" w:type="dxa"/>
            <w:vAlign w:val="center"/>
          </w:tcPr>
          <w:p w:rsidR="00064BFE" w:rsidRDefault="00064BFE" w:rsidP="00EF778D">
            <w:r>
              <w:lastRenderedPageBreak/>
              <w:t>REST submit</w:t>
            </w:r>
          </w:p>
        </w:tc>
        <w:tc>
          <w:tcPr>
            <w:tcW w:w="3629" w:type="dxa"/>
            <w:vAlign w:val="center"/>
          </w:tcPr>
          <w:p w:rsidR="00064BFE" w:rsidRDefault="00064BFE" w:rsidP="005114E4"/>
          <w:p w:rsidR="00064BFE" w:rsidRDefault="004A1917" w:rsidP="005114E4">
            <w:r>
              <w:t>O</w:t>
            </w:r>
            <w:r w:rsidR="00064BFE">
              <w:t xml:space="preserve">nce your session tokens are returned via </w:t>
            </w:r>
            <w:proofErr w:type="spellStart"/>
            <w:r w:rsidR="00064BFE">
              <w:t>getToken</w:t>
            </w:r>
            <w:proofErr w:type="spellEnd"/>
            <w:r w:rsidR="00064BFE">
              <w:t>, execute this API operation to submit a trade via an XML file.  The XML</w:t>
            </w:r>
            <w:r w:rsidR="00631CB2">
              <w:t xml:space="preserve"> payload</w:t>
            </w:r>
            <w:r w:rsidR="00064BFE">
              <w:t xml:space="preserve"> can contain one trade or a batch of trades, contingent on what method you’ve implemented to automate your submissions.  </w:t>
            </w:r>
          </w:p>
          <w:p w:rsidR="00064BFE" w:rsidRDefault="00064BFE" w:rsidP="005114E4"/>
        </w:tc>
        <w:tc>
          <w:tcPr>
            <w:tcW w:w="3031" w:type="dxa"/>
            <w:vAlign w:val="center"/>
          </w:tcPr>
          <w:p w:rsidR="00ED0480" w:rsidRDefault="005114E4" w:rsidP="00B71442">
            <w:r>
              <w:t xml:space="preserve">Validates that client can maintain an open and active API session and our system parsed the submission to verify if can be stored in eConfirm.  Also validates TV routing for reportable trades </w:t>
            </w:r>
            <w:r w:rsidR="00DA5808">
              <w:t xml:space="preserve"> and business processes are enabled</w:t>
            </w:r>
          </w:p>
        </w:tc>
        <w:tc>
          <w:tcPr>
            <w:tcW w:w="1534" w:type="dxa"/>
            <w:gridSpan w:val="2"/>
            <w:vAlign w:val="center"/>
          </w:tcPr>
          <w:p w:rsidR="00ED0480" w:rsidRDefault="00ED0480" w:rsidP="00EF778D"/>
        </w:tc>
        <w:tc>
          <w:tcPr>
            <w:tcW w:w="2393" w:type="dxa"/>
            <w:gridSpan w:val="2"/>
            <w:vAlign w:val="center"/>
          </w:tcPr>
          <w:p w:rsidR="00ED0480" w:rsidRDefault="00ED0480" w:rsidP="00EF778D"/>
        </w:tc>
      </w:tr>
      <w:tr w:rsidR="00ED0480" w:rsidTr="0010190A">
        <w:trPr>
          <w:cantSplit/>
          <w:jc w:val="center"/>
        </w:trPr>
        <w:tc>
          <w:tcPr>
            <w:tcW w:w="3348" w:type="dxa"/>
            <w:vAlign w:val="center"/>
          </w:tcPr>
          <w:p w:rsidR="00064BFE" w:rsidRDefault="00064BFE" w:rsidP="00064BFE">
            <w:r>
              <w:t>REST API calls</w:t>
            </w:r>
            <w:r w:rsidR="00631CB2">
              <w:t xml:space="preserve"> against eConfirm platform</w:t>
            </w:r>
          </w:p>
          <w:p w:rsidR="00064BFE" w:rsidRDefault="00064BFE" w:rsidP="00064BFE"/>
          <w:p w:rsidR="00064BFE" w:rsidRDefault="00064BFE" w:rsidP="00064BFE">
            <w:pPr>
              <w:pStyle w:val="ListParagraph"/>
              <w:numPr>
                <w:ilvl w:val="0"/>
                <w:numId w:val="9"/>
              </w:numPr>
            </w:pPr>
            <w:r>
              <w:t>REST Failure Messages</w:t>
            </w:r>
          </w:p>
          <w:p w:rsidR="00064BFE" w:rsidRDefault="00064BFE" w:rsidP="00064BFE">
            <w:pPr>
              <w:pStyle w:val="ListParagraph"/>
              <w:numPr>
                <w:ilvl w:val="0"/>
                <w:numId w:val="9"/>
              </w:numPr>
            </w:pPr>
            <w:r>
              <w:t>REST Trade Status</w:t>
            </w:r>
          </w:p>
          <w:p w:rsidR="00064BFE" w:rsidRDefault="00064BFE" w:rsidP="00064BFE">
            <w:pPr>
              <w:pStyle w:val="ListParagraph"/>
              <w:numPr>
                <w:ilvl w:val="0"/>
                <w:numId w:val="9"/>
              </w:numPr>
            </w:pPr>
            <w:r>
              <w:t>REST Alleged Trades</w:t>
            </w:r>
          </w:p>
          <w:p w:rsidR="00064BFE" w:rsidRDefault="00064BFE" w:rsidP="00064BFE">
            <w:pPr>
              <w:pStyle w:val="ListParagraph"/>
              <w:numPr>
                <w:ilvl w:val="0"/>
                <w:numId w:val="9"/>
              </w:numPr>
            </w:pPr>
            <w:r>
              <w:t>REST Unmatched Trades</w:t>
            </w:r>
          </w:p>
          <w:p w:rsidR="00064BFE" w:rsidRDefault="00064BFE" w:rsidP="00064BFE">
            <w:pPr>
              <w:pStyle w:val="ListParagraph"/>
              <w:numPr>
                <w:ilvl w:val="0"/>
                <w:numId w:val="9"/>
              </w:numPr>
            </w:pPr>
            <w:r>
              <w:t>REST Product Guide</w:t>
            </w:r>
          </w:p>
          <w:p w:rsidR="00631CB2" w:rsidRDefault="00631CB2" w:rsidP="00064BFE">
            <w:pPr>
              <w:pStyle w:val="ListParagraph"/>
              <w:numPr>
                <w:ilvl w:val="0"/>
                <w:numId w:val="9"/>
              </w:numPr>
            </w:pPr>
            <w:r>
              <w:t>REST Trade Details Query</w:t>
            </w:r>
          </w:p>
          <w:p w:rsidR="00064BFE" w:rsidRDefault="00064BFE" w:rsidP="00064BFE"/>
        </w:tc>
        <w:tc>
          <w:tcPr>
            <w:tcW w:w="3629" w:type="dxa"/>
            <w:vAlign w:val="center"/>
          </w:tcPr>
          <w:p w:rsidR="002A7189" w:rsidRDefault="005114E4" w:rsidP="004A1917">
            <w:r>
              <w:t xml:space="preserve">Execute your </w:t>
            </w:r>
            <w:proofErr w:type="gramStart"/>
            <w:r w:rsidR="00631CB2">
              <w:t xml:space="preserve">daily </w:t>
            </w:r>
            <w:r>
              <w:t xml:space="preserve"> </w:t>
            </w:r>
            <w:r w:rsidR="00631CB2">
              <w:t>eConfirm</w:t>
            </w:r>
            <w:proofErr w:type="gramEnd"/>
            <w:r w:rsidR="00631CB2">
              <w:t xml:space="preserve"> </w:t>
            </w:r>
            <w:r>
              <w:t xml:space="preserve">API workflow, if any, that contains </w:t>
            </w:r>
            <w:r w:rsidRPr="002A77F1">
              <w:rPr>
                <w:b/>
                <w:bCs/>
              </w:rPr>
              <w:t>one or more</w:t>
            </w:r>
            <w:r>
              <w:t xml:space="preserve"> of  the following calls </w:t>
            </w:r>
            <w:r w:rsidR="002A37DE">
              <w:t xml:space="preserve">compiled in this test case for the eConfirm application. </w:t>
            </w:r>
          </w:p>
        </w:tc>
        <w:tc>
          <w:tcPr>
            <w:tcW w:w="3031" w:type="dxa"/>
            <w:vAlign w:val="center"/>
          </w:tcPr>
          <w:p w:rsidR="00ED0480" w:rsidRDefault="005114E4" w:rsidP="005114E4">
            <w:r>
              <w:t>Validates</w:t>
            </w:r>
            <w:r w:rsidR="009A74D0">
              <w:t xml:space="preserve"> if the client can maintain an active session and carry out their </w:t>
            </w:r>
            <w:r w:rsidR="002A37DE">
              <w:t xml:space="preserve">normal day-to-day API workflow.  Validates that the system is returning a proper response as expected and no issues in generating the response.  </w:t>
            </w:r>
          </w:p>
        </w:tc>
        <w:tc>
          <w:tcPr>
            <w:tcW w:w="1534" w:type="dxa"/>
            <w:gridSpan w:val="2"/>
            <w:vAlign w:val="center"/>
          </w:tcPr>
          <w:p w:rsidR="00ED0480" w:rsidRDefault="00ED0480" w:rsidP="00EF778D"/>
        </w:tc>
        <w:tc>
          <w:tcPr>
            <w:tcW w:w="2393" w:type="dxa"/>
            <w:gridSpan w:val="2"/>
            <w:vAlign w:val="center"/>
          </w:tcPr>
          <w:p w:rsidR="00ED0480" w:rsidRDefault="00ED0480" w:rsidP="00EF778D"/>
        </w:tc>
      </w:tr>
      <w:tr w:rsidR="00783192" w:rsidTr="0010190A">
        <w:trPr>
          <w:cantSplit/>
          <w:jc w:val="center"/>
        </w:trPr>
        <w:tc>
          <w:tcPr>
            <w:tcW w:w="3348" w:type="dxa"/>
            <w:vAlign w:val="center"/>
          </w:tcPr>
          <w:p w:rsidR="00064BFE" w:rsidRDefault="00064BFE" w:rsidP="003D14BE">
            <w:r>
              <w:t>REST Trade Vault US/CA</w:t>
            </w:r>
            <w:r w:rsidR="00631CB2">
              <w:t xml:space="preserve"> API Calls</w:t>
            </w:r>
          </w:p>
          <w:p w:rsidR="00064BFE" w:rsidRDefault="00064BFE" w:rsidP="00064BFE">
            <w:pPr>
              <w:pStyle w:val="ListParagraph"/>
              <w:numPr>
                <w:ilvl w:val="0"/>
                <w:numId w:val="10"/>
              </w:numPr>
            </w:pPr>
            <w:r>
              <w:t>TVUS-TVCA Failure Messages Query</w:t>
            </w:r>
          </w:p>
          <w:p w:rsidR="00064BFE" w:rsidRDefault="00703F5B" w:rsidP="00064BFE">
            <w:pPr>
              <w:pStyle w:val="ListParagraph"/>
              <w:numPr>
                <w:ilvl w:val="0"/>
                <w:numId w:val="10"/>
              </w:numPr>
            </w:pPr>
            <w:r>
              <w:t>REST Open Trades Query</w:t>
            </w:r>
          </w:p>
          <w:p w:rsidR="00703F5B" w:rsidRDefault="00703F5B" w:rsidP="00064BFE">
            <w:pPr>
              <w:pStyle w:val="ListParagraph"/>
              <w:numPr>
                <w:ilvl w:val="0"/>
                <w:numId w:val="10"/>
              </w:numPr>
            </w:pPr>
            <w:r>
              <w:t>REST Open Positions Query</w:t>
            </w:r>
          </w:p>
          <w:p w:rsidR="00631CB2" w:rsidRDefault="00631CB2" w:rsidP="00064BFE">
            <w:pPr>
              <w:pStyle w:val="ListParagraph"/>
              <w:numPr>
                <w:ilvl w:val="0"/>
                <w:numId w:val="10"/>
              </w:numPr>
            </w:pPr>
            <w:r>
              <w:t>REST Submit Valuations (US/CA)</w:t>
            </w:r>
          </w:p>
          <w:p w:rsidR="00064BFE" w:rsidRDefault="00064BFE" w:rsidP="003D14BE"/>
        </w:tc>
        <w:tc>
          <w:tcPr>
            <w:tcW w:w="3629" w:type="dxa"/>
            <w:vAlign w:val="center"/>
          </w:tcPr>
          <w:p w:rsidR="00783192" w:rsidRDefault="002A37DE" w:rsidP="004A1917">
            <w:r>
              <w:t>Execute your</w:t>
            </w:r>
            <w:r w:rsidR="00631CB2">
              <w:t xml:space="preserve"> daily TV</w:t>
            </w:r>
            <w:r>
              <w:t>API workflow</w:t>
            </w:r>
            <w:r w:rsidR="00631CB2">
              <w:t xml:space="preserve"> for Trade Vault</w:t>
            </w:r>
            <w:proofErr w:type="gramStart"/>
            <w:r w:rsidR="00631CB2">
              <w:t xml:space="preserve">, </w:t>
            </w:r>
            <w:r>
              <w:t xml:space="preserve"> if</w:t>
            </w:r>
            <w:proofErr w:type="gramEnd"/>
            <w:r>
              <w:t xml:space="preserve"> any, that contains </w:t>
            </w:r>
            <w:r w:rsidRPr="002A77F1">
              <w:rPr>
                <w:b/>
                <w:bCs/>
              </w:rPr>
              <w:t>one or more</w:t>
            </w:r>
            <w:r>
              <w:t xml:space="preserve"> of  the following calls compiled in this test case for the Trade Vault US and CA applications.</w:t>
            </w:r>
          </w:p>
        </w:tc>
        <w:tc>
          <w:tcPr>
            <w:tcW w:w="3031" w:type="dxa"/>
            <w:vAlign w:val="center"/>
          </w:tcPr>
          <w:p w:rsidR="00783192" w:rsidRDefault="002A37DE" w:rsidP="00B652B1">
            <w:r>
              <w:t xml:space="preserve">Validates if the client can maintain an active session and carry out their normal day-to-day API workflow.  Validates that the system is returning a proper response as expected and no issues in generating the response.  </w:t>
            </w:r>
          </w:p>
        </w:tc>
        <w:tc>
          <w:tcPr>
            <w:tcW w:w="1534" w:type="dxa"/>
            <w:gridSpan w:val="2"/>
            <w:vAlign w:val="center"/>
          </w:tcPr>
          <w:p w:rsidR="00783192" w:rsidRDefault="00783192" w:rsidP="00EF778D"/>
        </w:tc>
        <w:tc>
          <w:tcPr>
            <w:tcW w:w="2393" w:type="dxa"/>
            <w:gridSpan w:val="2"/>
            <w:vAlign w:val="center"/>
          </w:tcPr>
          <w:p w:rsidR="00783192" w:rsidRDefault="00783192" w:rsidP="00EF778D"/>
        </w:tc>
      </w:tr>
      <w:tr w:rsidR="00783192" w:rsidTr="0010190A">
        <w:trPr>
          <w:cantSplit/>
          <w:jc w:val="center"/>
        </w:trPr>
        <w:tc>
          <w:tcPr>
            <w:tcW w:w="3348" w:type="dxa"/>
            <w:vAlign w:val="center"/>
          </w:tcPr>
          <w:p w:rsidR="00703F5B" w:rsidRDefault="00703F5B" w:rsidP="00EF778D">
            <w:r>
              <w:t>Rest Trade Vault EMIR Queries</w:t>
            </w:r>
          </w:p>
          <w:p w:rsidR="00703F5B" w:rsidRDefault="00703F5B" w:rsidP="00703F5B">
            <w:pPr>
              <w:pStyle w:val="ListParagraph"/>
              <w:numPr>
                <w:ilvl w:val="0"/>
                <w:numId w:val="11"/>
              </w:numPr>
            </w:pPr>
            <w:r>
              <w:t>TV-EMIR Failure Messages Query</w:t>
            </w:r>
          </w:p>
          <w:p w:rsidR="00703F5B" w:rsidRDefault="00703F5B" w:rsidP="00703F5B">
            <w:pPr>
              <w:pStyle w:val="ListParagraph"/>
              <w:numPr>
                <w:ilvl w:val="0"/>
                <w:numId w:val="11"/>
              </w:numPr>
            </w:pPr>
            <w:r>
              <w:t>REST Open Transaction Details Query</w:t>
            </w:r>
          </w:p>
          <w:p w:rsidR="00703F5B" w:rsidRDefault="00703F5B" w:rsidP="00703F5B">
            <w:pPr>
              <w:pStyle w:val="ListParagraph"/>
              <w:numPr>
                <w:ilvl w:val="0"/>
                <w:numId w:val="11"/>
              </w:numPr>
            </w:pPr>
            <w:r>
              <w:t>Valuations Needed Query</w:t>
            </w:r>
          </w:p>
          <w:p w:rsidR="00703F5B" w:rsidRDefault="00703F5B" w:rsidP="00703F5B">
            <w:pPr>
              <w:pStyle w:val="ListParagraph"/>
            </w:pPr>
          </w:p>
        </w:tc>
        <w:tc>
          <w:tcPr>
            <w:tcW w:w="3629" w:type="dxa"/>
            <w:vAlign w:val="center"/>
          </w:tcPr>
          <w:p w:rsidR="00783192" w:rsidRDefault="002A37DE" w:rsidP="004A1917">
            <w:r>
              <w:t xml:space="preserve">Execute your </w:t>
            </w:r>
            <w:proofErr w:type="gramStart"/>
            <w:r w:rsidR="00631CB2">
              <w:t>daily  EMIR</w:t>
            </w:r>
            <w:proofErr w:type="gramEnd"/>
            <w:r>
              <w:t xml:space="preserve"> API workflow, if any, that contains </w:t>
            </w:r>
            <w:bookmarkStart w:id="1" w:name="_GoBack"/>
            <w:r w:rsidRPr="002A77F1">
              <w:rPr>
                <w:b/>
                <w:bCs/>
              </w:rPr>
              <w:t>one or more</w:t>
            </w:r>
            <w:bookmarkEnd w:id="1"/>
            <w:r>
              <w:t xml:space="preserve"> of  the following calls compiled in this test case for the Trade Vault EMIR applications.</w:t>
            </w:r>
          </w:p>
        </w:tc>
        <w:tc>
          <w:tcPr>
            <w:tcW w:w="3031" w:type="dxa"/>
            <w:vAlign w:val="center"/>
          </w:tcPr>
          <w:p w:rsidR="00783192" w:rsidRDefault="002A37DE" w:rsidP="00783192">
            <w:r>
              <w:t xml:space="preserve">Validates if the client can maintain an active session and carry out their normal day-to-day API workflow.  Validates that the system is returning a proper response as expected and no issues in generating the response.  </w:t>
            </w:r>
          </w:p>
        </w:tc>
        <w:tc>
          <w:tcPr>
            <w:tcW w:w="1534" w:type="dxa"/>
            <w:gridSpan w:val="2"/>
            <w:vAlign w:val="center"/>
          </w:tcPr>
          <w:p w:rsidR="00783192" w:rsidRDefault="00783192" w:rsidP="00EF778D"/>
        </w:tc>
        <w:tc>
          <w:tcPr>
            <w:tcW w:w="2393" w:type="dxa"/>
            <w:gridSpan w:val="2"/>
            <w:vAlign w:val="center"/>
          </w:tcPr>
          <w:p w:rsidR="00783192" w:rsidRDefault="00783192" w:rsidP="00EF778D"/>
        </w:tc>
      </w:tr>
    </w:tbl>
    <w:p w:rsidR="00A921AE" w:rsidRPr="001E5894" w:rsidRDefault="00A921AE" w:rsidP="00546828">
      <w:pPr>
        <w:keepNext/>
        <w:spacing w:before="200" w:after="0"/>
        <w:rPr>
          <w:sz w:val="24"/>
        </w:rPr>
      </w:pPr>
    </w:p>
    <w:sectPr w:rsidR="00A921AE" w:rsidRPr="001E5894" w:rsidSect="008803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B7" w:rsidRDefault="00D211B7" w:rsidP="005A47BD">
      <w:pPr>
        <w:spacing w:after="0" w:line="240" w:lineRule="auto"/>
      </w:pPr>
      <w:r>
        <w:separator/>
      </w:r>
    </w:p>
  </w:endnote>
  <w:endnote w:type="continuationSeparator" w:id="0">
    <w:p w:rsidR="00D211B7" w:rsidRDefault="00D211B7" w:rsidP="005A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B7" w:rsidRDefault="00D211B7" w:rsidP="005A47BD">
      <w:pPr>
        <w:spacing w:after="0" w:line="240" w:lineRule="auto"/>
      </w:pPr>
      <w:r>
        <w:separator/>
      </w:r>
    </w:p>
  </w:footnote>
  <w:footnote w:type="continuationSeparator" w:id="0">
    <w:p w:rsidR="00D211B7" w:rsidRDefault="00D211B7" w:rsidP="005A4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957"/>
    <w:multiLevelType w:val="hybridMultilevel"/>
    <w:tmpl w:val="D8E2E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94EE7"/>
    <w:multiLevelType w:val="hybridMultilevel"/>
    <w:tmpl w:val="7F30E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F3A07"/>
    <w:multiLevelType w:val="hybridMultilevel"/>
    <w:tmpl w:val="B686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077D2"/>
    <w:multiLevelType w:val="hybridMultilevel"/>
    <w:tmpl w:val="1AF0E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661E6"/>
    <w:multiLevelType w:val="hybridMultilevel"/>
    <w:tmpl w:val="FA9AA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E3CB9"/>
    <w:multiLevelType w:val="hybridMultilevel"/>
    <w:tmpl w:val="9FF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F5414"/>
    <w:multiLevelType w:val="hybridMultilevel"/>
    <w:tmpl w:val="B8763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E130A0"/>
    <w:multiLevelType w:val="hybridMultilevel"/>
    <w:tmpl w:val="65388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C3907"/>
    <w:multiLevelType w:val="hybridMultilevel"/>
    <w:tmpl w:val="0AC4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F6B17"/>
    <w:multiLevelType w:val="hybridMultilevel"/>
    <w:tmpl w:val="8270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83E80"/>
    <w:multiLevelType w:val="hybridMultilevel"/>
    <w:tmpl w:val="0F5E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10"/>
  </w:num>
  <w:num w:numId="6">
    <w:abstractNumId w:val="1"/>
  </w:num>
  <w:num w:numId="7">
    <w:abstractNumId w:val="0"/>
  </w:num>
  <w:num w:numId="8">
    <w:abstractNumId w:val="6"/>
  </w:num>
  <w:num w:numId="9">
    <w:abstractNumId w:val="8"/>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him Kabani">
    <w15:presenceInfo w15:providerId="None" w15:userId="Rahim Ka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2A"/>
    <w:rsid w:val="00012CFB"/>
    <w:rsid w:val="00023FA6"/>
    <w:rsid w:val="00026B53"/>
    <w:rsid w:val="00026D42"/>
    <w:rsid w:val="000436B2"/>
    <w:rsid w:val="00064BFE"/>
    <w:rsid w:val="00067663"/>
    <w:rsid w:val="0008013C"/>
    <w:rsid w:val="00090075"/>
    <w:rsid w:val="000C5F7D"/>
    <w:rsid w:val="000E4B80"/>
    <w:rsid w:val="0010190A"/>
    <w:rsid w:val="00155B11"/>
    <w:rsid w:val="00164B4B"/>
    <w:rsid w:val="00173192"/>
    <w:rsid w:val="00182461"/>
    <w:rsid w:val="00184CC9"/>
    <w:rsid w:val="001965E2"/>
    <w:rsid w:val="001A3423"/>
    <w:rsid w:val="001E3690"/>
    <w:rsid w:val="001E5894"/>
    <w:rsid w:val="0020232D"/>
    <w:rsid w:val="002228A8"/>
    <w:rsid w:val="00226ADA"/>
    <w:rsid w:val="00262A46"/>
    <w:rsid w:val="00272F77"/>
    <w:rsid w:val="002816C2"/>
    <w:rsid w:val="00295BD2"/>
    <w:rsid w:val="002A37DE"/>
    <w:rsid w:val="002A7189"/>
    <w:rsid w:val="002A77F1"/>
    <w:rsid w:val="002B6FDA"/>
    <w:rsid w:val="002E64C6"/>
    <w:rsid w:val="00302770"/>
    <w:rsid w:val="0031683D"/>
    <w:rsid w:val="00317B0C"/>
    <w:rsid w:val="003221B7"/>
    <w:rsid w:val="003349BF"/>
    <w:rsid w:val="00337AE4"/>
    <w:rsid w:val="00341EAE"/>
    <w:rsid w:val="00346AC9"/>
    <w:rsid w:val="00352D6E"/>
    <w:rsid w:val="003836EC"/>
    <w:rsid w:val="003B34CD"/>
    <w:rsid w:val="003B62D9"/>
    <w:rsid w:val="003B6D0F"/>
    <w:rsid w:val="003C5EAB"/>
    <w:rsid w:val="003D14BE"/>
    <w:rsid w:val="003E03A8"/>
    <w:rsid w:val="003F18D8"/>
    <w:rsid w:val="00402A2B"/>
    <w:rsid w:val="00416FE1"/>
    <w:rsid w:val="00426920"/>
    <w:rsid w:val="00427684"/>
    <w:rsid w:val="00434A80"/>
    <w:rsid w:val="00446CAD"/>
    <w:rsid w:val="00447873"/>
    <w:rsid w:val="00463DD5"/>
    <w:rsid w:val="00466580"/>
    <w:rsid w:val="00477708"/>
    <w:rsid w:val="0048669F"/>
    <w:rsid w:val="0049088F"/>
    <w:rsid w:val="004A1917"/>
    <w:rsid w:val="004E57B5"/>
    <w:rsid w:val="004F560A"/>
    <w:rsid w:val="005068F1"/>
    <w:rsid w:val="005114E4"/>
    <w:rsid w:val="005322A3"/>
    <w:rsid w:val="005329AF"/>
    <w:rsid w:val="00532A8C"/>
    <w:rsid w:val="00546828"/>
    <w:rsid w:val="005738C1"/>
    <w:rsid w:val="00576E88"/>
    <w:rsid w:val="005A47BD"/>
    <w:rsid w:val="005B2587"/>
    <w:rsid w:val="005C455A"/>
    <w:rsid w:val="005D45CE"/>
    <w:rsid w:val="005E0ED6"/>
    <w:rsid w:val="005E3018"/>
    <w:rsid w:val="00615F70"/>
    <w:rsid w:val="00617C90"/>
    <w:rsid w:val="00631CB2"/>
    <w:rsid w:val="0063692E"/>
    <w:rsid w:val="006370DC"/>
    <w:rsid w:val="00641249"/>
    <w:rsid w:val="00643A48"/>
    <w:rsid w:val="00680FFF"/>
    <w:rsid w:val="006817E3"/>
    <w:rsid w:val="00682843"/>
    <w:rsid w:val="00685704"/>
    <w:rsid w:val="00695119"/>
    <w:rsid w:val="006C6579"/>
    <w:rsid w:val="006E2C60"/>
    <w:rsid w:val="006E6249"/>
    <w:rsid w:val="006E7394"/>
    <w:rsid w:val="006F4D07"/>
    <w:rsid w:val="006F59BC"/>
    <w:rsid w:val="00703F5B"/>
    <w:rsid w:val="00731DB2"/>
    <w:rsid w:val="007353B1"/>
    <w:rsid w:val="00760EDF"/>
    <w:rsid w:val="00783192"/>
    <w:rsid w:val="00790ABE"/>
    <w:rsid w:val="00797786"/>
    <w:rsid w:val="007B72F2"/>
    <w:rsid w:val="007C695E"/>
    <w:rsid w:val="007D0BCA"/>
    <w:rsid w:val="007D19F3"/>
    <w:rsid w:val="007E0166"/>
    <w:rsid w:val="007F72E0"/>
    <w:rsid w:val="008125B9"/>
    <w:rsid w:val="00816852"/>
    <w:rsid w:val="00830D0B"/>
    <w:rsid w:val="008408B3"/>
    <w:rsid w:val="00852E8E"/>
    <w:rsid w:val="008547E5"/>
    <w:rsid w:val="008803FA"/>
    <w:rsid w:val="0088429C"/>
    <w:rsid w:val="008A76DC"/>
    <w:rsid w:val="008D3D9A"/>
    <w:rsid w:val="00912906"/>
    <w:rsid w:val="00923888"/>
    <w:rsid w:val="00926A1B"/>
    <w:rsid w:val="009577DC"/>
    <w:rsid w:val="00960E70"/>
    <w:rsid w:val="00992004"/>
    <w:rsid w:val="009A383A"/>
    <w:rsid w:val="009A74D0"/>
    <w:rsid w:val="009C6485"/>
    <w:rsid w:val="009D0A0E"/>
    <w:rsid w:val="009D1BB3"/>
    <w:rsid w:val="009E3207"/>
    <w:rsid w:val="009F582D"/>
    <w:rsid w:val="00A00CD0"/>
    <w:rsid w:val="00A23102"/>
    <w:rsid w:val="00A46CAE"/>
    <w:rsid w:val="00A61531"/>
    <w:rsid w:val="00A83613"/>
    <w:rsid w:val="00A921AE"/>
    <w:rsid w:val="00AA3527"/>
    <w:rsid w:val="00AB608B"/>
    <w:rsid w:val="00AD59A3"/>
    <w:rsid w:val="00AE45D1"/>
    <w:rsid w:val="00B024CC"/>
    <w:rsid w:val="00B07755"/>
    <w:rsid w:val="00B12B5D"/>
    <w:rsid w:val="00B40B0C"/>
    <w:rsid w:val="00B52471"/>
    <w:rsid w:val="00B54125"/>
    <w:rsid w:val="00B554D8"/>
    <w:rsid w:val="00B55A32"/>
    <w:rsid w:val="00B71442"/>
    <w:rsid w:val="00B71DA0"/>
    <w:rsid w:val="00B72650"/>
    <w:rsid w:val="00B76D6B"/>
    <w:rsid w:val="00B833A2"/>
    <w:rsid w:val="00B93E20"/>
    <w:rsid w:val="00BB418B"/>
    <w:rsid w:val="00BD595B"/>
    <w:rsid w:val="00BD633D"/>
    <w:rsid w:val="00BE3F07"/>
    <w:rsid w:val="00C3244E"/>
    <w:rsid w:val="00C9422A"/>
    <w:rsid w:val="00CA3C1D"/>
    <w:rsid w:val="00CD2C07"/>
    <w:rsid w:val="00D211B7"/>
    <w:rsid w:val="00D24B57"/>
    <w:rsid w:val="00D2582C"/>
    <w:rsid w:val="00D3788D"/>
    <w:rsid w:val="00D45C1D"/>
    <w:rsid w:val="00D63798"/>
    <w:rsid w:val="00D65554"/>
    <w:rsid w:val="00D92C2D"/>
    <w:rsid w:val="00DA22FE"/>
    <w:rsid w:val="00DA5808"/>
    <w:rsid w:val="00DB1B31"/>
    <w:rsid w:val="00DB3C0D"/>
    <w:rsid w:val="00DD1EAE"/>
    <w:rsid w:val="00E11874"/>
    <w:rsid w:val="00E149C4"/>
    <w:rsid w:val="00E15FD9"/>
    <w:rsid w:val="00E2402A"/>
    <w:rsid w:val="00E34834"/>
    <w:rsid w:val="00E40C6F"/>
    <w:rsid w:val="00E437E4"/>
    <w:rsid w:val="00E73EB0"/>
    <w:rsid w:val="00E83492"/>
    <w:rsid w:val="00E878F7"/>
    <w:rsid w:val="00EA131A"/>
    <w:rsid w:val="00EA3EE3"/>
    <w:rsid w:val="00EA7B44"/>
    <w:rsid w:val="00EC0B54"/>
    <w:rsid w:val="00ED0480"/>
    <w:rsid w:val="00EE6B57"/>
    <w:rsid w:val="00EF1DCF"/>
    <w:rsid w:val="00F2655D"/>
    <w:rsid w:val="00F267AA"/>
    <w:rsid w:val="00F352BF"/>
    <w:rsid w:val="00F42593"/>
    <w:rsid w:val="00F44792"/>
    <w:rsid w:val="00F601B7"/>
    <w:rsid w:val="00F73F72"/>
    <w:rsid w:val="00F95014"/>
    <w:rsid w:val="00FA7CC0"/>
    <w:rsid w:val="00FD11D1"/>
    <w:rsid w:val="00FE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B9"/>
  </w:style>
  <w:style w:type="paragraph" w:styleId="Heading1">
    <w:name w:val="heading 1"/>
    <w:basedOn w:val="Normal"/>
    <w:next w:val="Normal"/>
    <w:link w:val="Heading1Char"/>
    <w:uiPriority w:val="9"/>
    <w:qFormat/>
    <w:rsid w:val="00155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5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01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02A"/>
    <w:rPr>
      <w:color w:val="0000FF" w:themeColor="hyperlink"/>
      <w:u w:val="single"/>
    </w:rPr>
  </w:style>
  <w:style w:type="paragraph" w:styleId="Header">
    <w:name w:val="header"/>
    <w:basedOn w:val="Normal"/>
    <w:link w:val="HeaderChar"/>
    <w:unhideWhenUsed/>
    <w:rsid w:val="005A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7BD"/>
  </w:style>
  <w:style w:type="paragraph" w:styleId="Footer">
    <w:name w:val="footer"/>
    <w:basedOn w:val="Normal"/>
    <w:link w:val="FooterChar"/>
    <w:uiPriority w:val="99"/>
    <w:unhideWhenUsed/>
    <w:rsid w:val="005A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7BD"/>
  </w:style>
  <w:style w:type="paragraph" w:styleId="ListParagraph">
    <w:name w:val="List Paragraph"/>
    <w:basedOn w:val="Normal"/>
    <w:uiPriority w:val="34"/>
    <w:qFormat/>
    <w:rsid w:val="00317B0C"/>
    <w:pPr>
      <w:ind w:left="720"/>
      <w:contextualSpacing/>
    </w:pPr>
    <w:rPr>
      <w:rFonts w:eastAsiaTheme="minorEastAsia"/>
    </w:rPr>
  </w:style>
  <w:style w:type="paragraph" w:styleId="Caption">
    <w:name w:val="caption"/>
    <w:basedOn w:val="Normal"/>
    <w:next w:val="Normal"/>
    <w:uiPriority w:val="35"/>
    <w:unhideWhenUsed/>
    <w:qFormat/>
    <w:rsid w:val="00A46CA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C64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648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C6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648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55B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5B11"/>
    <w:pPr>
      <w:outlineLvl w:val="9"/>
    </w:pPr>
    <w:rPr>
      <w:lang w:eastAsia="ja-JP"/>
    </w:rPr>
  </w:style>
  <w:style w:type="paragraph" w:styleId="BalloonText">
    <w:name w:val="Balloon Text"/>
    <w:basedOn w:val="Normal"/>
    <w:link w:val="BalloonTextChar"/>
    <w:uiPriority w:val="99"/>
    <w:semiHidden/>
    <w:unhideWhenUsed/>
    <w:rsid w:val="00155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11"/>
    <w:rPr>
      <w:rFonts w:ascii="Tahoma" w:hAnsi="Tahoma" w:cs="Tahoma"/>
      <w:sz w:val="16"/>
      <w:szCs w:val="16"/>
    </w:rPr>
  </w:style>
  <w:style w:type="character" w:customStyle="1" w:styleId="Heading2Char">
    <w:name w:val="Heading 2 Char"/>
    <w:basedOn w:val="DefaultParagraphFont"/>
    <w:link w:val="Heading2"/>
    <w:uiPriority w:val="9"/>
    <w:rsid w:val="00155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016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7B72F2"/>
    <w:pPr>
      <w:tabs>
        <w:tab w:val="right" w:leader="dot" w:pos="14390"/>
      </w:tabs>
      <w:spacing w:after="0"/>
    </w:pPr>
  </w:style>
  <w:style w:type="paragraph" w:styleId="TOC2">
    <w:name w:val="toc 2"/>
    <w:basedOn w:val="Normal"/>
    <w:next w:val="Normal"/>
    <w:autoRedefine/>
    <w:uiPriority w:val="39"/>
    <w:unhideWhenUsed/>
    <w:qFormat/>
    <w:rsid w:val="007E0166"/>
    <w:pPr>
      <w:spacing w:after="100"/>
      <w:ind w:left="220"/>
    </w:pPr>
  </w:style>
  <w:style w:type="paragraph" w:styleId="TOC3">
    <w:name w:val="toc 3"/>
    <w:basedOn w:val="Normal"/>
    <w:next w:val="Normal"/>
    <w:autoRedefine/>
    <w:uiPriority w:val="39"/>
    <w:unhideWhenUsed/>
    <w:qFormat/>
    <w:rsid w:val="007E0166"/>
    <w:pPr>
      <w:spacing w:after="100"/>
      <w:ind w:left="440"/>
    </w:pPr>
  </w:style>
  <w:style w:type="character" w:styleId="FollowedHyperlink">
    <w:name w:val="FollowedHyperlink"/>
    <w:basedOn w:val="DefaultParagraphFont"/>
    <w:uiPriority w:val="99"/>
    <w:semiHidden/>
    <w:unhideWhenUsed/>
    <w:rsid w:val="00D637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B9"/>
  </w:style>
  <w:style w:type="paragraph" w:styleId="Heading1">
    <w:name w:val="heading 1"/>
    <w:basedOn w:val="Normal"/>
    <w:next w:val="Normal"/>
    <w:link w:val="Heading1Char"/>
    <w:uiPriority w:val="9"/>
    <w:qFormat/>
    <w:rsid w:val="00155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5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01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02A"/>
    <w:rPr>
      <w:color w:val="0000FF" w:themeColor="hyperlink"/>
      <w:u w:val="single"/>
    </w:rPr>
  </w:style>
  <w:style w:type="paragraph" w:styleId="Header">
    <w:name w:val="header"/>
    <w:basedOn w:val="Normal"/>
    <w:link w:val="HeaderChar"/>
    <w:unhideWhenUsed/>
    <w:rsid w:val="005A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7BD"/>
  </w:style>
  <w:style w:type="paragraph" w:styleId="Footer">
    <w:name w:val="footer"/>
    <w:basedOn w:val="Normal"/>
    <w:link w:val="FooterChar"/>
    <w:uiPriority w:val="99"/>
    <w:unhideWhenUsed/>
    <w:rsid w:val="005A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7BD"/>
  </w:style>
  <w:style w:type="paragraph" w:styleId="ListParagraph">
    <w:name w:val="List Paragraph"/>
    <w:basedOn w:val="Normal"/>
    <w:uiPriority w:val="34"/>
    <w:qFormat/>
    <w:rsid w:val="00317B0C"/>
    <w:pPr>
      <w:ind w:left="720"/>
      <w:contextualSpacing/>
    </w:pPr>
    <w:rPr>
      <w:rFonts w:eastAsiaTheme="minorEastAsia"/>
    </w:rPr>
  </w:style>
  <w:style w:type="paragraph" w:styleId="Caption">
    <w:name w:val="caption"/>
    <w:basedOn w:val="Normal"/>
    <w:next w:val="Normal"/>
    <w:uiPriority w:val="35"/>
    <w:unhideWhenUsed/>
    <w:qFormat/>
    <w:rsid w:val="00A46CA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C64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648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C6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648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55B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5B11"/>
    <w:pPr>
      <w:outlineLvl w:val="9"/>
    </w:pPr>
    <w:rPr>
      <w:lang w:eastAsia="ja-JP"/>
    </w:rPr>
  </w:style>
  <w:style w:type="paragraph" w:styleId="BalloonText">
    <w:name w:val="Balloon Text"/>
    <w:basedOn w:val="Normal"/>
    <w:link w:val="BalloonTextChar"/>
    <w:uiPriority w:val="99"/>
    <w:semiHidden/>
    <w:unhideWhenUsed/>
    <w:rsid w:val="00155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11"/>
    <w:rPr>
      <w:rFonts w:ascii="Tahoma" w:hAnsi="Tahoma" w:cs="Tahoma"/>
      <w:sz w:val="16"/>
      <w:szCs w:val="16"/>
    </w:rPr>
  </w:style>
  <w:style w:type="character" w:customStyle="1" w:styleId="Heading2Char">
    <w:name w:val="Heading 2 Char"/>
    <w:basedOn w:val="DefaultParagraphFont"/>
    <w:link w:val="Heading2"/>
    <w:uiPriority w:val="9"/>
    <w:rsid w:val="00155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0166"/>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7B72F2"/>
    <w:pPr>
      <w:tabs>
        <w:tab w:val="right" w:leader="dot" w:pos="14390"/>
      </w:tabs>
      <w:spacing w:after="0"/>
    </w:pPr>
  </w:style>
  <w:style w:type="paragraph" w:styleId="TOC2">
    <w:name w:val="toc 2"/>
    <w:basedOn w:val="Normal"/>
    <w:next w:val="Normal"/>
    <w:autoRedefine/>
    <w:uiPriority w:val="39"/>
    <w:unhideWhenUsed/>
    <w:qFormat/>
    <w:rsid w:val="007E0166"/>
    <w:pPr>
      <w:spacing w:after="100"/>
      <w:ind w:left="220"/>
    </w:pPr>
  </w:style>
  <w:style w:type="paragraph" w:styleId="TOC3">
    <w:name w:val="toc 3"/>
    <w:basedOn w:val="Normal"/>
    <w:next w:val="Normal"/>
    <w:autoRedefine/>
    <w:uiPriority w:val="39"/>
    <w:unhideWhenUsed/>
    <w:qFormat/>
    <w:rsid w:val="007E0166"/>
    <w:pPr>
      <w:spacing w:after="100"/>
      <w:ind w:left="440"/>
    </w:pPr>
  </w:style>
  <w:style w:type="character" w:styleId="FollowedHyperlink">
    <w:name w:val="FollowedHyperlink"/>
    <w:basedOn w:val="DefaultParagraphFont"/>
    <w:uiPriority w:val="99"/>
    <w:semiHidden/>
    <w:unhideWhenUsed/>
    <w:rsid w:val="00D63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etradevaul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etradevaul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etradevaul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tradevault.com" TargetMode="External"/><Relationship Id="rId5" Type="http://schemas.openxmlformats.org/officeDocument/2006/relationships/settings" Target="settings.xml"/><Relationship Id="rId15" Type="http://schemas.openxmlformats.org/officeDocument/2006/relationships/hyperlink" Target="http://www.icetradevault.com" TargetMode="External"/><Relationship Id="rId10" Type="http://schemas.openxmlformats.org/officeDocument/2006/relationships/hyperlink" Target="mailto:tradevaultsupport@theice.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etradeva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323A-B8D1-4CE8-9468-C30F0897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IntercontinentalExchange</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 Kabani</dc:creator>
  <cp:lastModifiedBy>Robert Yenerall</cp:lastModifiedBy>
  <cp:revision>2</cp:revision>
  <cp:lastPrinted>2015-10-22T13:56:00Z</cp:lastPrinted>
  <dcterms:created xsi:type="dcterms:W3CDTF">2020-10-14T17:32:00Z</dcterms:created>
  <dcterms:modified xsi:type="dcterms:W3CDTF">2020-10-14T17:32:00Z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LatestUserAccountName">
    <vt:lpwstr>rkabani</vt:lpwstr>
  </property>
  <property fmtid="{D5CDD505-2E9C-101B-9397-08002B2CF9AE}" pid="3" name="Offisync_UpdateToken">
    <vt:lpwstr>8</vt:lpwstr>
  </property>
  <property fmtid="{D5CDD505-2E9C-101B-9397-08002B2CF9AE}" pid="4" name="Offisync_UniqueId">
    <vt:lpwstr>77969</vt:lpwstr>
  </property>
  <property fmtid="{D5CDD505-2E9C-101B-9397-08002B2CF9AE}" pid="5" name="Jive_VersionGuid">
    <vt:lpwstr>d0e10a52-2c34-4d3b-bdd0-119929e83df1</vt:lpwstr>
  </property>
  <property fmtid="{D5CDD505-2E9C-101B-9397-08002B2CF9AE}" pid="6" name="Offisync_ServerID">
    <vt:lpwstr>22d416c3-297d-4f82-9d38-0e9fb21e08c0</vt:lpwstr>
  </property>
  <property fmtid="{D5CDD505-2E9C-101B-9397-08002B2CF9AE}" pid="7" name="Offisync_ProviderInitializationData">
    <vt:lpwstr>https://icespace.cpex.com</vt:lpwstr>
  </property>
</Properties>
</file>