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1A995" w14:textId="48921AC4" w:rsidR="004427EC" w:rsidRPr="008F5B2E" w:rsidRDefault="00A82CDA" w:rsidP="004427EC">
      <w:pPr>
        <w:pStyle w:val="Titre1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8</w:t>
      </w:r>
      <w:r w:rsidR="00B534B0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AUG</w:t>
      </w:r>
      <w:r w:rsidR="004A6A42">
        <w:rPr>
          <w:rFonts w:asciiTheme="minorHAnsi" w:hAnsiTheme="minorHAnsi" w:cstheme="minorHAnsi"/>
          <w:szCs w:val="22"/>
        </w:rPr>
        <w:t>U</w:t>
      </w:r>
      <w:r>
        <w:rPr>
          <w:rFonts w:asciiTheme="minorHAnsi" w:hAnsiTheme="minorHAnsi" w:cstheme="minorHAnsi"/>
          <w:szCs w:val="22"/>
        </w:rPr>
        <w:t>ST</w:t>
      </w:r>
      <w:r w:rsidR="00B534B0">
        <w:rPr>
          <w:rFonts w:asciiTheme="minorHAnsi" w:hAnsiTheme="minorHAnsi" w:cstheme="minorHAnsi"/>
          <w:szCs w:val="22"/>
        </w:rPr>
        <w:t xml:space="preserve"> 20</w:t>
      </w:r>
      <w:r w:rsidR="00A84EE3">
        <w:rPr>
          <w:rFonts w:asciiTheme="minorHAnsi" w:hAnsiTheme="minorHAnsi" w:cstheme="minorHAnsi"/>
          <w:szCs w:val="22"/>
        </w:rPr>
        <w:t>20</w:t>
      </w:r>
    </w:p>
    <w:p w14:paraId="05636D22" w14:textId="5AF36B62" w:rsidR="004427EC" w:rsidRPr="008F5B2E" w:rsidRDefault="00552159" w:rsidP="004427EC">
      <w:pPr>
        <w:pStyle w:val="DocMainTitle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EURONEXT</w:t>
      </w:r>
      <w:r w:rsidR="00E837FA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cash </w:t>
      </w:r>
      <w:r w:rsidR="00A84EE3">
        <w:rPr>
          <w:rFonts w:asciiTheme="minorHAnsi" w:hAnsiTheme="minorHAnsi" w:cstheme="minorHAnsi"/>
          <w:sz w:val="22"/>
        </w:rPr>
        <w:t xml:space="preserve">&amp; DERIVATIVES </w:t>
      </w:r>
      <w:r w:rsidR="004427EC" w:rsidRPr="008F5B2E">
        <w:rPr>
          <w:rFonts w:asciiTheme="minorHAnsi" w:hAnsiTheme="minorHAnsi" w:cstheme="minorHAnsi"/>
          <w:sz w:val="22"/>
        </w:rPr>
        <w:t>disaster recovery test: guidelines for participants</w:t>
      </w:r>
    </w:p>
    <w:tbl>
      <w:tblPr>
        <w:tblStyle w:val="Grilledutableau"/>
        <w:tblW w:w="9639" w:type="dxa"/>
        <w:tblInd w:w="170" w:type="dxa"/>
        <w:tblBorders>
          <w:top w:val="single" w:sz="8" w:space="0" w:color="008D7F"/>
          <w:left w:val="single" w:sz="8" w:space="0" w:color="008D7F"/>
          <w:bottom w:val="single" w:sz="8" w:space="0" w:color="008D7F"/>
          <w:right w:val="single" w:sz="8" w:space="0" w:color="008D7F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70" w:type="dxa"/>
          <w:bottom w:w="57" w:type="dxa"/>
          <w:right w:w="198" w:type="dxa"/>
        </w:tblCellMar>
        <w:tblLook w:val="04A0" w:firstRow="1" w:lastRow="0" w:firstColumn="1" w:lastColumn="0" w:noHBand="0" w:noVBand="1"/>
      </w:tblPr>
      <w:tblGrid>
        <w:gridCol w:w="9639"/>
      </w:tblGrid>
      <w:tr w:rsidR="004427EC" w:rsidRPr="008F5B2E" w14:paraId="054F2900" w14:textId="77777777" w:rsidTr="00FA7FB6">
        <w:tc>
          <w:tcPr>
            <w:tcW w:w="9639" w:type="dxa"/>
          </w:tcPr>
          <w:p w14:paraId="525E6713" w14:textId="77777777" w:rsidR="004427EC" w:rsidRPr="008F5B2E" w:rsidRDefault="004427EC" w:rsidP="00FA7FB6">
            <w:pPr>
              <w:rPr>
                <w:rFonts w:asciiTheme="minorHAnsi" w:hAnsiTheme="minorHAnsi" w:cstheme="minorHAnsi"/>
              </w:rPr>
            </w:pPr>
            <w:r w:rsidRPr="008F5B2E">
              <w:rPr>
                <w:rFonts w:asciiTheme="minorHAnsi" w:hAnsiTheme="minorHAnsi" w:cstheme="minorHAnsi"/>
              </w:rPr>
              <w:t>The</w:t>
            </w:r>
            <w:r w:rsidR="002924F4">
              <w:rPr>
                <w:rFonts w:asciiTheme="minorHAnsi" w:hAnsiTheme="minorHAnsi" w:cstheme="minorHAnsi"/>
              </w:rPr>
              <w:t xml:space="preserve"> </w:t>
            </w:r>
            <w:r w:rsidRPr="008F5B2E">
              <w:rPr>
                <w:rFonts w:asciiTheme="minorHAnsi" w:hAnsiTheme="minorHAnsi" w:cstheme="minorHAnsi"/>
              </w:rPr>
              <w:t>objective is to simulate real life scenario that the trading architecture and Disaster Recovery Plan are fully operational within the targeted time frame.</w:t>
            </w:r>
          </w:p>
          <w:p w14:paraId="0AA526D0" w14:textId="6FEC52E2" w:rsidR="004427EC" w:rsidRPr="008F5B2E" w:rsidRDefault="004427EC" w:rsidP="00FA7FB6">
            <w:pPr>
              <w:rPr>
                <w:rFonts w:asciiTheme="minorHAnsi" w:hAnsiTheme="minorHAnsi" w:cstheme="minorHAnsi"/>
                <w:b/>
              </w:rPr>
            </w:pPr>
            <w:r w:rsidRPr="008F5B2E">
              <w:rPr>
                <w:rFonts w:asciiTheme="minorHAnsi" w:hAnsiTheme="minorHAnsi" w:cstheme="minorHAnsi"/>
                <w:b/>
              </w:rPr>
              <w:t xml:space="preserve">The </w:t>
            </w:r>
            <w:r w:rsidR="00552159">
              <w:rPr>
                <w:rFonts w:asciiTheme="minorHAnsi" w:hAnsiTheme="minorHAnsi" w:cstheme="minorHAnsi"/>
                <w:b/>
              </w:rPr>
              <w:t>Euronext</w:t>
            </w:r>
            <w:r w:rsidR="00ED7A7B">
              <w:rPr>
                <w:rFonts w:asciiTheme="minorHAnsi" w:hAnsiTheme="minorHAnsi" w:cstheme="minorHAnsi"/>
                <w:b/>
              </w:rPr>
              <w:t xml:space="preserve"> Disaster Recovery test</w:t>
            </w:r>
            <w:r w:rsidRPr="008F5B2E">
              <w:rPr>
                <w:rFonts w:asciiTheme="minorHAnsi" w:hAnsiTheme="minorHAnsi" w:cstheme="minorHAnsi"/>
                <w:b/>
              </w:rPr>
              <w:t xml:space="preserve"> will take place on </w:t>
            </w:r>
            <w:r w:rsidR="00B534B0" w:rsidRPr="00803465">
              <w:rPr>
                <w:b/>
              </w:rPr>
              <w:t xml:space="preserve">Saturday </w:t>
            </w:r>
            <w:r w:rsidR="00B534B0">
              <w:rPr>
                <w:b/>
              </w:rPr>
              <w:t xml:space="preserve"> </w:t>
            </w:r>
            <w:r w:rsidR="00A82CDA">
              <w:rPr>
                <w:b/>
              </w:rPr>
              <w:t>24</w:t>
            </w:r>
            <w:r w:rsidR="00B534B0">
              <w:rPr>
                <w:b/>
              </w:rPr>
              <w:t xml:space="preserve"> </w:t>
            </w:r>
            <w:r w:rsidR="00A82CDA">
              <w:rPr>
                <w:b/>
              </w:rPr>
              <w:t>October</w:t>
            </w:r>
            <w:r w:rsidR="00B534B0">
              <w:rPr>
                <w:b/>
              </w:rPr>
              <w:t xml:space="preserve"> 20</w:t>
            </w:r>
            <w:r w:rsidR="00A84EE3">
              <w:rPr>
                <w:b/>
              </w:rPr>
              <w:t>20</w:t>
            </w:r>
            <w:r w:rsidRPr="008F5B2E">
              <w:rPr>
                <w:rFonts w:asciiTheme="minorHAnsi" w:hAnsiTheme="minorHAnsi" w:cstheme="minorHAnsi"/>
                <w:b/>
              </w:rPr>
              <w:t>.</w:t>
            </w:r>
          </w:p>
          <w:p w14:paraId="1E7839D3" w14:textId="77777777" w:rsidR="00322C7A" w:rsidRPr="008F5B2E" w:rsidRDefault="00552159" w:rsidP="00322C7A">
            <w:pPr>
              <w:rPr>
                <w:rFonts w:asciiTheme="minorHAnsi" w:hAnsiTheme="minorHAnsi" w:cstheme="minorHAnsi"/>
              </w:rPr>
            </w:pPr>
            <w:r>
              <w:t>Euronext</w:t>
            </w:r>
            <w:r w:rsidR="00322C7A">
              <w:t xml:space="preserve"> recommends that all customers take advantage of this service, however the test is not mandatory.  </w:t>
            </w:r>
          </w:p>
        </w:tc>
      </w:tr>
    </w:tbl>
    <w:p w14:paraId="48E49434" w14:textId="77777777" w:rsidR="004427EC" w:rsidRPr="008F5B2E" w:rsidRDefault="004427EC" w:rsidP="004427EC">
      <w:pPr>
        <w:pStyle w:val="Titre1"/>
        <w:rPr>
          <w:rFonts w:asciiTheme="minorHAnsi" w:hAnsiTheme="minorHAnsi" w:cstheme="minorHAnsi"/>
          <w:szCs w:val="22"/>
        </w:rPr>
      </w:pPr>
      <w:r w:rsidRPr="008F5B2E">
        <w:rPr>
          <w:rFonts w:asciiTheme="minorHAnsi" w:hAnsiTheme="minorHAnsi" w:cstheme="minorHAnsi"/>
          <w:szCs w:val="22"/>
        </w:rPr>
        <w:t>scope of the test</w:t>
      </w:r>
    </w:p>
    <w:p w14:paraId="0416795E" w14:textId="77777777" w:rsidR="004427EC" w:rsidRPr="008F5B2E" w:rsidRDefault="004427EC" w:rsidP="004427EC">
      <w:pPr>
        <w:rPr>
          <w:rFonts w:asciiTheme="minorHAnsi" w:hAnsiTheme="minorHAnsi" w:cstheme="minorHAnsi"/>
        </w:rPr>
      </w:pPr>
      <w:r w:rsidRPr="008F5B2E">
        <w:rPr>
          <w:rFonts w:asciiTheme="minorHAnsi" w:hAnsiTheme="minorHAnsi" w:cstheme="minorHAnsi"/>
        </w:rPr>
        <w:t>The following are included in the test:</w:t>
      </w:r>
    </w:p>
    <w:p w14:paraId="6D3AC2E5" w14:textId="77777777" w:rsidR="004427EC" w:rsidRPr="008F5B2E" w:rsidRDefault="004427EC" w:rsidP="004427EC">
      <w:pPr>
        <w:pStyle w:val="Bullet1"/>
        <w:rPr>
          <w:rFonts w:asciiTheme="minorHAnsi" w:hAnsiTheme="minorHAnsi" w:cstheme="minorHAnsi"/>
        </w:rPr>
      </w:pPr>
      <w:r w:rsidRPr="008F5B2E">
        <w:rPr>
          <w:rFonts w:asciiTheme="minorHAnsi" w:hAnsiTheme="minorHAnsi" w:cstheme="minorHAnsi"/>
        </w:rPr>
        <w:t xml:space="preserve">Both production trading systems of </w:t>
      </w:r>
      <w:r w:rsidR="00552159">
        <w:rPr>
          <w:rFonts w:asciiTheme="minorHAnsi" w:hAnsiTheme="minorHAnsi" w:cstheme="minorHAnsi"/>
        </w:rPr>
        <w:t>Euronext</w:t>
      </w:r>
      <w:r w:rsidR="00413D4B">
        <w:rPr>
          <w:rFonts w:asciiTheme="minorHAnsi" w:hAnsiTheme="minorHAnsi" w:cstheme="minorHAnsi"/>
        </w:rPr>
        <w:t>’s</w:t>
      </w:r>
      <w:r w:rsidRPr="008F5B2E">
        <w:rPr>
          <w:rFonts w:asciiTheme="minorHAnsi" w:hAnsiTheme="minorHAnsi" w:cstheme="minorHAnsi"/>
        </w:rPr>
        <w:t xml:space="preserve"> Data Centr</w:t>
      </w:r>
      <w:r w:rsidR="00413D4B">
        <w:rPr>
          <w:rFonts w:asciiTheme="minorHAnsi" w:hAnsiTheme="minorHAnsi" w:cstheme="minorHAnsi"/>
        </w:rPr>
        <w:t>es</w:t>
      </w:r>
      <w:r w:rsidRPr="008F5B2E">
        <w:rPr>
          <w:rFonts w:asciiTheme="minorHAnsi" w:hAnsiTheme="minorHAnsi" w:cstheme="minorHAnsi"/>
        </w:rPr>
        <w:t xml:space="preserve">: DC1, located at Basildon (UK) and DC2 (DR Data Centre), located in </w:t>
      </w:r>
      <w:r w:rsidR="0001313B">
        <w:rPr>
          <w:rFonts w:asciiTheme="minorHAnsi" w:hAnsiTheme="minorHAnsi" w:cstheme="minorHAnsi"/>
        </w:rPr>
        <w:t>the Paris region</w:t>
      </w:r>
      <w:r w:rsidR="00413D4B">
        <w:rPr>
          <w:rFonts w:asciiTheme="minorHAnsi" w:hAnsiTheme="minorHAnsi" w:cstheme="minorHAnsi"/>
        </w:rPr>
        <w:t>.</w:t>
      </w:r>
    </w:p>
    <w:p w14:paraId="0253AA6E" w14:textId="77777777" w:rsidR="00413D4B" w:rsidRDefault="004427EC" w:rsidP="002932ED">
      <w:pPr>
        <w:pStyle w:val="Bullet1"/>
      </w:pPr>
      <w:r w:rsidRPr="001C08AC">
        <w:t>Trading engines:</w:t>
      </w:r>
    </w:p>
    <w:p w14:paraId="5EBDEC57" w14:textId="071BF4F0" w:rsidR="006906A4" w:rsidRDefault="004523A1" w:rsidP="003C6C84">
      <w:pPr>
        <w:pStyle w:val="Bullet2"/>
      </w:pPr>
      <w:r>
        <w:t xml:space="preserve">Optiq </w:t>
      </w:r>
      <w:r w:rsidR="00413D4B">
        <w:t>Ca</w:t>
      </w:r>
      <w:r w:rsidR="00860DAC">
        <w:t>sh</w:t>
      </w:r>
      <w:r w:rsidR="00B534B0">
        <w:t xml:space="preserve"> Markets</w:t>
      </w:r>
      <w:r w:rsidR="00860DAC">
        <w:t>:</w:t>
      </w:r>
      <w:r w:rsidR="004427EC" w:rsidRPr="001C08AC">
        <w:t xml:space="preserve"> Equities, </w:t>
      </w:r>
      <w:r w:rsidR="00B534B0">
        <w:t>Funds,</w:t>
      </w:r>
      <w:r w:rsidR="003861C2">
        <w:t xml:space="preserve"> </w:t>
      </w:r>
      <w:r w:rsidR="004427EC" w:rsidRPr="001C08AC">
        <w:t>Warrants</w:t>
      </w:r>
      <w:r w:rsidR="00B534B0">
        <w:t xml:space="preserve"> &amp;</w:t>
      </w:r>
      <w:r w:rsidR="004427EC" w:rsidRPr="001C08AC">
        <w:t xml:space="preserve"> Certificates</w:t>
      </w:r>
      <w:r w:rsidR="00B534B0">
        <w:t xml:space="preserve">, Fixed Income,  </w:t>
      </w:r>
      <w:r w:rsidR="004427EC" w:rsidRPr="001C08AC">
        <w:t>T</w:t>
      </w:r>
      <w:r w:rsidR="001C08AC" w:rsidRPr="001C08AC">
        <w:t>rade Confirmation  System (T</w:t>
      </w:r>
      <w:r w:rsidR="004427EC" w:rsidRPr="001C08AC">
        <w:t>CS</w:t>
      </w:r>
      <w:r w:rsidR="001C08AC" w:rsidRPr="001C08AC">
        <w:t>)</w:t>
      </w:r>
      <w:r w:rsidR="0045582F">
        <w:t xml:space="preserve">, Transaction Reporting and Publication System (Saturn) </w:t>
      </w:r>
      <w:r w:rsidR="004427EC" w:rsidRPr="001C08AC">
        <w:t>and Index platform</w:t>
      </w:r>
    </w:p>
    <w:p w14:paraId="56903EA1" w14:textId="5C9731F9" w:rsidR="00A84EE3" w:rsidRDefault="00A84EE3" w:rsidP="003C6C84">
      <w:pPr>
        <w:pStyle w:val="Bullet2"/>
      </w:pPr>
      <w:r>
        <w:t>Optiq Derivatives Markets: Equity Derivatives, Index Derivatives, Commodities.</w:t>
      </w:r>
    </w:p>
    <w:p w14:paraId="76FF9D4B" w14:textId="77777777" w:rsidR="00B534B0" w:rsidRDefault="00B534B0" w:rsidP="003861C2">
      <w:pPr>
        <w:pStyle w:val="Bullet1"/>
        <w:numPr>
          <w:ilvl w:val="0"/>
          <w:numId w:val="0"/>
        </w:numPr>
        <w:ind w:left="340"/>
        <w:rPr>
          <w:rFonts w:asciiTheme="minorHAnsi" w:hAnsiTheme="minorHAnsi" w:cstheme="minorHAnsi"/>
        </w:rPr>
      </w:pPr>
    </w:p>
    <w:p w14:paraId="1F6321BA" w14:textId="011BD914" w:rsidR="004427EC" w:rsidRPr="0045582F" w:rsidRDefault="006906A4" w:rsidP="00757EEE">
      <w:pPr>
        <w:pStyle w:val="Bullet1"/>
        <w:numPr>
          <w:ilvl w:val="0"/>
          <w:numId w:val="0"/>
        </w:numPr>
        <w:ind w:left="340"/>
        <w:rPr>
          <w:rFonts w:asciiTheme="minorHAnsi" w:hAnsiTheme="minorHAnsi" w:cstheme="minorHAnsi"/>
        </w:rPr>
      </w:pPr>
      <w:r w:rsidRPr="0045582F">
        <w:rPr>
          <w:rFonts w:asciiTheme="minorHAnsi" w:hAnsiTheme="minorHAnsi" w:cstheme="minorHAnsi"/>
        </w:rPr>
        <w:t>Related access means</w:t>
      </w:r>
      <w:r w:rsidR="00B534B0" w:rsidRPr="0045582F">
        <w:rPr>
          <w:rFonts w:asciiTheme="minorHAnsi" w:hAnsiTheme="minorHAnsi" w:cstheme="minorHAnsi"/>
        </w:rPr>
        <w:t xml:space="preserve">: </w:t>
      </w:r>
      <w:r w:rsidR="00B534B0">
        <w:t xml:space="preserve">Optiq Cash </w:t>
      </w:r>
      <w:r w:rsidR="00A84EE3">
        <w:t xml:space="preserve">&amp; Derivatives </w:t>
      </w:r>
      <w:r w:rsidR="00B534B0">
        <w:t>Order Entry available via OEG</w:t>
      </w:r>
      <w:r w:rsidR="00B534B0" w:rsidRPr="0045582F">
        <w:rPr>
          <w:rFonts w:asciiTheme="minorHAnsi" w:hAnsiTheme="minorHAnsi" w:cstheme="minorHAnsi"/>
        </w:rPr>
        <w:t xml:space="preserve"> </w:t>
      </w:r>
      <w:r w:rsidR="004427EC" w:rsidRPr="0045582F">
        <w:rPr>
          <w:rFonts w:asciiTheme="minorHAnsi" w:hAnsiTheme="minorHAnsi" w:cstheme="minorHAnsi"/>
        </w:rPr>
        <w:t>Market Data</w:t>
      </w:r>
      <w:r w:rsidR="00116E9F" w:rsidRPr="0045582F">
        <w:rPr>
          <w:rFonts w:asciiTheme="minorHAnsi" w:hAnsiTheme="minorHAnsi" w:cstheme="minorHAnsi"/>
        </w:rPr>
        <w:t xml:space="preserve">: All </w:t>
      </w:r>
      <w:r w:rsidR="00327A27" w:rsidRPr="0045582F">
        <w:rPr>
          <w:rFonts w:asciiTheme="minorHAnsi" w:hAnsiTheme="minorHAnsi" w:cstheme="minorHAnsi"/>
        </w:rPr>
        <w:t>MDG</w:t>
      </w:r>
      <w:r w:rsidR="00B534B0" w:rsidRPr="0045582F">
        <w:rPr>
          <w:rFonts w:asciiTheme="minorHAnsi" w:hAnsiTheme="minorHAnsi" w:cstheme="minorHAnsi"/>
        </w:rPr>
        <w:t xml:space="preserve"> market data </w:t>
      </w:r>
      <w:r w:rsidR="00116E9F" w:rsidRPr="0045582F">
        <w:rPr>
          <w:rFonts w:asciiTheme="minorHAnsi" w:hAnsiTheme="minorHAnsi" w:cstheme="minorHAnsi"/>
        </w:rPr>
        <w:t xml:space="preserve"> services</w:t>
      </w:r>
    </w:p>
    <w:p w14:paraId="48D33AFF" w14:textId="77777777" w:rsidR="008731FF" w:rsidRDefault="008731FF" w:rsidP="004427EC">
      <w:pPr>
        <w:pStyle w:val="Bullet1"/>
        <w:numPr>
          <w:ilvl w:val="0"/>
          <w:numId w:val="0"/>
        </w:numPr>
        <w:ind w:left="340" w:hanging="340"/>
        <w:rPr>
          <w:rFonts w:asciiTheme="minorHAnsi" w:hAnsiTheme="minorHAnsi" w:cstheme="minorHAnsi"/>
        </w:rPr>
      </w:pPr>
    </w:p>
    <w:p w14:paraId="39119332" w14:textId="66EA628A" w:rsidR="004427EC" w:rsidRPr="00A300D8" w:rsidRDefault="004427EC" w:rsidP="004427EC">
      <w:pPr>
        <w:pStyle w:val="Bullet1"/>
        <w:numPr>
          <w:ilvl w:val="0"/>
          <w:numId w:val="0"/>
        </w:numPr>
        <w:ind w:left="340" w:hanging="340"/>
        <w:rPr>
          <w:rFonts w:asciiTheme="minorHAnsi" w:hAnsiTheme="minorHAnsi" w:cstheme="minorHAnsi"/>
        </w:rPr>
      </w:pPr>
      <w:r w:rsidRPr="00A300D8">
        <w:rPr>
          <w:rFonts w:asciiTheme="minorHAnsi" w:hAnsiTheme="minorHAnsi" w:cstheme="minorHAnsi"/>
        </w:rPr>
        <w:t xml:space="preserve">The following </w:t>
      </w:r>
      <w:r w:rsidR="00882246" w:rsidRPr="00A300D8">
        <w:rPr>
          <w:rFonts w:asciiTheme="minorHAnsi" w:hAnsiTheme="minorHAnsi" w:cstheme="minorHAnsi"/>
        </w:rPr>
        <w:t xml:space="preserve">systems/ services </w:t>
      </w:r>
      <w:r w:rsidRPr="00A300D8">
        <w:rPr>
          <w:rFonts w:asciiTheme="minorHAnsi" w:hAnsiTheme="minorHAnsi" w:cstheme="minorHAnsi"/>
        </w:rPr>
        <w:t xml:space="preserve">are </w:t>
      </w:r>
      <w:r w:rsidRPr="00A300D8">
        <w:rPr>
          <w:rFonts w:asciiTheme="minorHAnsi" w:hAnsiTheme="minorHAnsi" w:cstheme="minorHAnsi"/>
          <w:b/>
          <w:u w:val="single"/>
        </w:rPr>
        <w:t>not</w:t>
      </w:r>
      <w:r w:rsidRPr="00A300D8">
        <w:rPr>
          <w:rFonts w:asciiTheme="minorHAnsi" w:hAnsiTheme="minorHAnsi" w:cstheme="minorHAnsi"/>
        </w:rPr>
        <w:t xml:space="preserve"> part of the test:</w:t>
      </w:r>
    </w:p>
    <w:p w14:paraId="6878E1B4" w14:textId="77777777" w:rsidR="004427EC" w:rsidRPr="00A300D8" w:rsidRDefault="004427EC" w:rsidP="004427EC">
      <w:pPr>
        <w:pStyle w:val="Bullet1"/>
        <w:rPr>
          <w:rFonts w:asciiTheme="minorHAnsi" w:hAnsiTheme="minorHAnsi" w:cstheme="minorHAnsi"/>
        </w:rPr>
      </w:pPr>
      <w:r w:rsidRPr="00A300D8">
        <w:rPr>
          <w:rFonts w:asciiTheme="minorHAnsi" w:hAnsiTheme="minorHAnsi" w:cstheme="minorHAnsi"/>
        </w:rPr>
        <w:t>Co-location access means</w:t>
      </w:r>
    </w:p>
    <w:p w14:paraId="75CF3EDD" w14:textId="77777777" w:rsidR="0045582F" w:rsidRDefault="004427EC" w:rsidP="0045582F">
      <w:pPr>
        <w:pStyle w:val="Bullet1"/>
        <w:rPr>
          <w:rFonts w:asciiTheme="minorHAnsi" w:hAnsiTheme="minorHAnsi" w:cstheme="minorHAnsi"/>
        </w:rPr>
      </w:pPr>
      <w:r w:rsidRPr="00A300D8">
        <w:rPr>
          <w:rFonts w:asciiTheme="minorHAnsi" w:hAnsiTheme="minorHAnsi" w:cstheme="minorHAnsi"/>
        </w:rPr>
        <w:t>Post-trade systems: trades will not be integrated in the clearing system and no clearing members will be involved in this test.</w:t>
      </w:r>
    </w:p>
    <w:p w14:paraId="04CC69BB" w14:textId="2463801A" w:rsidR="0045582F" w:rsidRPr="0045582F" w:rsidRDefault="0045582F" w:rsidP="00A84EE3">
      <w:pPr>
        <w:pStyle w:val="Bullet1"/>
        <w:numPr>
          <w:ilvl w:val="0"/>
          <w:numId w:val="0"/>
        </w:numPr>
        <w:ind w:left="340"/>
        <w:rPr>
          <w:rFonts w:asciiTheme="minorHAnsi" w:hAnsiTheme="minorHAnsi" w:cstheme="minorHAnsi"/>
        </w:rPr>
      </w:pPr>
    </w:p>
    <w:p w14:paraId="0685F1DE" w14:textId="77777777" w:rsidR="004427EC" w:rsidRPr="008F5B2E" w:rsidRDefault="004427EC" w:rsidP="004427EC">
      <w:pPr>
        <w:pStyle w:val="Titre1"/>
        <w:rPr>
          <w:rFonts w:asciiTheme="minorHAnsi" w:hAnsiTheme="minorHAnsi" w:cstheme="minorHAnsi"/>
          <w:szCs w:val="22"/>
        </w:rPr>
      </w:pPr>
      <w:r w:rsidRPr="008F5B2E">
        <w:rPr>
          <w:rFonts w:asciiTheme="minorHAnsi" w:hAnsiTheme="minorHAnsi" w:cstheme="minorHAnsi"/>
          <w:szCs w:val="22"/>
        </w:rPr>
        <w:t>main principles of the test</w:t>
      </w:r>
    </w:p>
    <w:p w14:paraId="1E83BB9B" w14:textId="11BFE5AD" w:rsidR="004427EC" w:rsidRPr="00672505" w:rsidRDefault="00552159" w:rsidP="004427EC">
      <w:pPr>
        <w:pStyle w:val="Sansinterligne"/>
      </w:pPr>
      <w:r w:rsidRPr="00672505">
        <w:t>Euronext</w:t>
      </w:r>
      <w:r w:rsidR="004427EC" w:rsidRPr="00672505">
        <w:t xml:space="preserve"> will simulate a failover of DC1 to DC2 during the continuous trading session and </w:t>
      </w:r>
      <w:r w:rsidR="00882246" w:rsidRPr="00672505">
        <w:t xml:space="preserve">will </w:t>
      </w:r>
      <w:r w:rsidR="004427EC" w:rsidRPr="00672505">
        <w:t>manage the</w:t>
      </w:r>
      <w:r w:rsidR="00882246" w:rsidRPr="00672505">
        <w:t xml:space="preserve"> </w:t>
      </w:r>
      <w:r w:rsidR="004427EC" w:rsidRPr="00672505">
        <w:t>transfer through the appropriate decision-making process</w:t>
      </w:r>
      <w:r w:rsidR="00B534B0">
        <w:t xml:space="preserve"> (for Cash </w:t>
      </w:r>
      <w:r w:rsidR="0063717C">
        <w:rPr>
          <w:rFonts w:cs="Calibri"/>
          <w:color w:val="000000"/>
          <w:lang w:val="en-US"/>
        </w:rPr>
        <w:t xml:space="preserve">&amp; Derivatives </w:t>
      </w:r>
      <w:r w:rsidR="00B534B0">
        <w:t>Markets)</w:t>
      </w:r>
      <w:r w:rsidR="004427EC" w:rsidRPr="00672505">
        <w:t>.</w:t>
      </w:r>
      <w:r w:rsidR="00935852" w:rsidRPr="00672505">
        <w:t xml:space="preserve"> </w:t>
      </w:r>
    </w:p>
    <w:p w14:paraId="3EC0F6B6" w14:textId="6C4AF3BB" w:rsidR="004427EC" w:rsidRPr="00672505" w:rsidRDefault="004427EC" w:rsidP="004427EC">
      <w:pPr>
        <w:pStyle w:val="Sansinterligne"/>
      </w:pPr>
      <w:r w:rsidRPr="00672505">
        <w:t xml:space="preserve">As soon as </w:t>
      </w:r>
      <w:r w:rsidR="00552159" w:rsidRPr="00672505">
        <w:t>Euronext</w:t>
      </w:r>
      <w:r w:rsidRPr="00672505">
        <w:t xml:space="preserve"> considers DC2 to be fully operational</w:t>
      </w:r>
      <w:r w:rsidR="00935852" w:rsidRPr="00672505">
        <w:t xml:space="preserve"> for Cash</w:t>
      </w:r>
      <w:r w:rsidR="0063717C">
        <w:t xml:space="preserve"> &amp; Derivatives</w:t>
      </w:r>
      <w:r w:rsidR="00935852" w:rsidRPr="00672505">
        <w:t xml:space="preserve"> </w:t>
      </w:r>
      <w:r w:rsidR="0045582F">
        <w:t>markets</w:t>
      </w:r>
      <w:r w:rsidRPr="00672505">
        <w:t xml:space="preserve">, a pre-opening session </w:t>
      </w:r>
      <w:r w:rsidR="00350932">
        <w:t xml:space="preserve">and a trading session </w:t>
      </w:r>
      <w:r w:rsidRPr="00672505">
        <w:t>will be set up</w:t>
      </w:r>
      <w:r w:rsidR="00B534B0">
        <w:t xml:space="preserve"> </w:t>
      </w:r>
      <w:r w:rsidRPr="00672505">
        <w:t>on</w:t>
      </w:r>
      <w:r w:rsidR="00B534B0">
        <w:t xml:space="preserve"> </w:t>
      </w:r>
      <w:r w:rsidR="0063717C">
        <w:t xml:space="preserve">Optiq </w:t>
      </w:r>
      <w:r w:rsidR="00327A27">
        <w:t xml:space="preserve">Cash </w:t>
      </w:r>
      <w:r w:rsidR="0063717C">
        <w:t>&amp; Derivatives</w:t>
      </w:r>
      <w:r w:rsidRPr="00672505">
        <w:t>, and customers will be given by our readiness status to reconnect.</w:t>
      </w:r>
    </w:p>
    <w:p w14:paraId="206CECB2" w14:textId="77777777" w:rsidR="00350932" w:rsidRDefault="00350932" w:rsidP="004427EC">
      <w:pPr>
        <w:pStyle w:val="Sansinterligne"/>
      </w:pPr>
    </w:p>
    <w:p w14:paraId="3FA08378" w14:textId="658AFF31" w:rsidR="004427EC" w:rsidRPr="00672505" w:rsidRDefault="004427EC" w:rsidP="004427EC">
      <w:pPr>
        <w:pStyle w:val="Sansinterligne"/>
      </w:pPr>
      <w:r w:rsidRPr="00672505">
        <w:t>Customers are responsible for making sure that their internal systems and access means are correctly</w:t>
      </w:r>
    </w:p>
    <w:p w14:paraId="0BE064B8" w14:textId="77777777" w:rsidR="008714F9" w:rsidRDefault="004427EC" w:rsidP="00F111FD">
      <w:pPr>
        <w:pStyle w:val="Sansinterligne"/>
      </w:pPr>
      <w:r w:rsidRPr="00672505">
        <w:t xml:space="preserve">synchronised with </w:t>
      </w:r>
      <w:r w:rsidR="00552159" w:rsidRPr="00672505">
        <w:t>Euronext</w:t>
      </w:r>
      <w:r w:rsidRPr="008F5B2E">
        <w:t xml:space="preserve"> central systems.</w:t>
      </w:r>
    </w:p>
    <w:p w14:paraId="3A849D51" w14:textId="77777777" w:rsidR="008714F9" w:rsidRDefault="008714F9" w:rsidP="00F111FD">
      <w:pPr>
        <w:pStyle w:val="Sansinterligne"/>
      </w:pPr>
    </w:p>
    <w:p w14:paraId="01CF2AB8" w14:textId="777193F5" w:rsidR="00803BF8" w:rsidRDefault="00803BF8" w:rsidP="00803BF8">
      <w:pPr>
        <w:autoSpaceDE w:val="0"/>
        <w:autoSpaceDN w:val="0"/>
        <w:adjustRightInd w:val="0"/>
        <w:spacing w:after="0" w:line="240" w:lineRule="auto"/>
        <w:jc w:val="left"/>
        <w:rPr>
          <w:rFonts w:cs="Calibri"/>
          <w:b/>
          <w:bCs/>
          <w:color w:val="000000"/>
          <w:lang w:val="en-US"/>
        </w:rPr>
      </w:pPr>
      <w:r>
        <w:rPr>
          <w:rFonts w:cs="Calibri"/>
          <w:b/>
          <w:bCs/>
          <w:color w:val="000000"/>
          <w:lang w:val="en-US"/>
        </w:rPr>
        <w:t>CUSTOMER PARTICIPATION</w:t>
      </w:r>
    </w:p>
    <w:p w14:paraId="63589B33" w14:textId="5946ECFC" w:rsidR="008C0DB1" w:rsidRPr="00803BF8" w:rsidRDefault="008C0DB1" w:rsidP="00803BF8">
      <w:pPr>
        <w:autoSpaceDE w:val="0"/>
        <w:autoSpaceDN w:val="0"/>
        <w:adjustRightInd w:val="0"/>
        <w:spacing w:after="0" w:line="240" w:lineRule="auto"/>
        <w:jc w:val="left"/>
        <w:rPr>
          <w:rFonts w:cs="Calibri"/>
          <w:color w:val="000000"/>
          <w:lang w:val="en-US"/>
        </w:rPr>
      </w:pPr>
    </w:p>
    <w:p w14:paraId="03A673F1" w14:textId="499B4BE4" w:rsidR="00803BF8" w:rsidRPr="00803BF8" w:rsidRDefault="00803BF8" w:rsidP="00803BF8">
      <w:pPr>
        <w:autoSpaceDE w:val="0"/>
        <w:autoSpaceDN w:val="0"/>
        <w:adjustRightInd w:val="0"/>
        <w:spacing w:after="0" w:line="240" w:lineRule="auto"/>
        <w:jc w:val="left"/>
        <w:rPr>
          <w:rFonts w:cs="Calibri"/>
          <w:color w:val="000000"/>
          <w:lang w:val="en-US"/>
        </w:rPr>
      </w:pPr>
      <w:r w:rsidRPr="00803BF8">
        <w:rPr>
          <w:rFonts w:cs="Calibri"/>
          <w:color w:val="000000"/>
          <w:lang w:val="en-US"/>
        </w:rPr>
        <w:lastRenderedPageBreak/>
        <w:t xml:space="preserve">Euronext strongly encourages </w:t>
      </w:r>
      <w:r>
        <w:rPr>
          <w:rFonts w:cs="Calibri"/>
          <w:color w:val="000000"/>
          <w:lang w:val="en-US"/>
        </w:rPr>
        <w:t xml:space="preserve">any </w:t>
      </w:r>
      <w:r w:rsidRPr="00803BF8">
        <w:rPr>
          <w:rFonts w:cs="Calibri"/>
          <w:color w:val="000000"/>
          <w:lang w:val="en-US"/>
        </w:rPr>
        <w:t xml:space="preserve">customers to participate actively in this test in order to ensure that they are familiar with the Euronext failover process. </w:t>
      </w:r>
    </w:p>
    <w:p w14:paraId="7CE9D9FF" w14:textId="77777777" w:rsidR="0018268B" w:rsidRDefault="0018268B" w:rsidP="0018268B">
      <w:pPr>
        <w:spacing w:after="0" w:line="240" w:lineRule="auto"/>
        <w:jc w:val="left"/>
        <w:rPr>
          <w:rFonts w:cs="Calibri"/>
          <w:color w:val="000000"/>
          <w:lang w:val="en-US"/>
        </w:rPr>
      </w:pPr>
    </w:p>
    <w:p w14:paraId="7042A792" w14:textId="692CF618" w:rsidR="0018268B" w:rsidRPr="0018268B" w:rsidRDefault="0018268B" w:rsidP="0018268B">
      <w:pPr>
        <w:spacing w:after="0" w:line="240" w:lineRule="auto"/>
        <w:jc w:val="left"/>
        <w:rPr>
          <w:rFonts w:eastAsia="Times New Roman"/>
          <w:lang w:val="en-US"/>
        </w:rPr>
      </w:pPr>
      <w:r w:rsidRPr="0018268B">
        <w:rPr>
          <w:rFonts w:cs="Calibri"/>
          <w:color w:val="000000"/>
          <w:lang w:val="en-US"/>
        </w:rPr>
        <w:t xml:space="preserve">As a reminder, the </w:t>
      </w:r>
      <w:r w:rsidR="00803BF8" w:rsidRPr="0018268B">
        <w:rPr>
          <w:rFonts w:cs="Calibri"/>
          <w:color w:val="000000"/>
          <w:lang w:val="en-US"/>
        </w:rPr>
        <w:t xml:space="preserve">registration is </w:t>
      </w:r>
      <w:r w:rsidRPr="0018268B">
        <w:rPr>
          <w:rFonts w:cs="Calibri"/>
          <w:color w:val="000000"/>
          <w:lang w:val="en-US"/>
        </w:rPr>
        <w:t xml:space="preserve">available here to </w:t>
      </w:r>
      <w:r w:rsidR="00803BF8" w:rsidRPr="0018268B">
        <w:rPr>
          <w:rFonts w:cs="Calibri"/>
          <w:color w:val="000000"/>
          <w:lang w:val="en-US"/>
        </w:rPr>
        <w:t>participate to the test</w:t>
      </w:r>
      <w:r w:rsidRPr="0018268B">
        <w:rPr>
          <w:rFonts w:cs="Calibri"/>
          <w:color w:val="000000"/>
          <w:lang w:val="en-US"/>
        </w:rPr>
        <w:t xml:space="preserve">: </w:t>
      </w:r>
      <w:hyperlink r:id="rId9" w:history="1">
        <w:r w:rsidRPr="0018268B">
          <w:rPr>
            <w:rStyle w:val="Lienhypertexte"/>
            <w:rFonts w:eastAsia="Times New Roman"/>
            <w:lang w:val="en-US"/>
          </w:rPr>
          <w:t>https://connect2.euronext.com/en/form/euronext-disaster-recovery-test</w:t>
        </w:r>
      </w:hyperlink>
    </w:p>
    <w:p w14:paraId="0ADABA91" w14:textId="77777777" w:rsidR="00803BF8" w:rsidRDefault="00803BF8" w:rsidP="00803BF8">
      <w:pPr>
        <w:pStyle w:val="Sansinterligne"/>
        <w:rPr>
          <w:rFonts w:cs="Calibri"/>
          <w:color w:val="000000"/>
          <w:lang w:val="en-US"/>
        </w:rPr>
      </w:pPr>
    </w:p>
    <w:p w14:paraId="0C94084B" w14:textId="17A5D029" w:rsidR="004427EC" w:rsidRDefault="008714F9" w:rsidP="00803BF8">
      <w:pPr>
        <w:pStyle w:val="Sansinterligne"/>
        <w:rPr>
          <w:b/>
        </w:rPr>
      </w:pPr>
      <w:r w:rsidRPr="00C33FF9">
        <w:rPr>
          <w:b/>
        </w:rPr>
        <w:t>COMMUNICATION</w:t>
      </w:r>
    </w:p>
    <w:p w14:paraId="4F2F678C" w14:textId="77777777" w:rsidR="008C0DB1" w:rsidRPr="008F5B2E" w:rsidRDefault="008C0DB1" w:rsidP="00803BF8">
      <w:pPr>
        <w:pStyle w:val="Sansinterligne"/>
        <w:rPr>
          <w:rFonts w:asciiTheme="minorHAnsi" w:hAnsiTheme="minorHAnsi" w:cstheme="minorHAnsi"/>
        </w:rPr>
      </w:pPr>
    </w:p>
    <w:p w14:paraId="20D6D751" w14:textId="0146E402" w:rsidR="004427EC" w:rsidRPr="008F5B2E" w:rsidRDefault="00882246" w:rsidP="004427E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During the test </w:t>
      </w:r>
      <w:r w:rsidR="00552159">
        <w:rPr>
          <w:rFonts w:asciiTheme="minorHAnsi" w:hAnsiTheme="minorHAnsi" w:cstheme="minorHAnsi"/>
        </w:rPr>
        <w:t>Euronext</w:t>
      </w:r>
      <w:r w:rsidR="004427EC" w:rsidRPr="008F5B2E">
        <w:rPr>
          <w:rFonts w:asciiTheme="minorHAnsi" w:hAnsiTheme="minorHAnsi" w:cstheme="minorHAnsi"/>
        </w:rPr>
        <w:t xml:space="preserve"> will keep customers informed through the Live Market Status web page:</w:t>
      </w:r>
    </w:p>
    <w:p w14:paraId="6D0EF067" w14:textId="77777777" w:rsidR="004427EC" w:rsidRPr="008F5B2E" w:rsidRDefault="003C1856" w:rsidP="004427EC">
      <w:pPr>
        <w:rPr>
          <w:rFonts w:asciiTheme="minorHAnsi" w:hAnsiTheme="minorHAnsi" w:cstheme="minorHAnsi"/>
          <w:b/>
        </w:rPr>
      </w:pPr>
      <w:hyperlink r:id="rId10" w:history="1">
        <w:r w:rsidR="00413D4B">
          <w:rPr>
            <w:rStyle w:val="Lienhypertexte"/>
            <w:color w:val="008D7F"/>
          </w:rPr>
          <w:t>www.euronext.com/market-status</w:t>
        </w:r>
      </w:hyperlink>
      <w:r w:rsidR="00413D4B">
        <w:rPr>
          <w:rStyle w:val="Lienhypertexte"/>
          <w:color w:val="008D7F"/>
          <w:u w:val="none"/>
        </w:rPr>
        <w:t xml:space="preserve"> </w:t>
      </w:r>
      <w:r w:rsidR="004427EC" w:rsidRPr="008F5B2E">
        <w:rPr>
          <w:rFonts w:asciiTheme="minorHAnsi" w:hAnsiTheme="minorHAnsi" w:cstheme="minorHAnsi"/>
          <w:b/>
        </w:rPr>
        <w:t>.</w:t>
      </w:r>
    </w:p>
    <w:p w14:paraId="71297F2C" w14:textId="77777777" w:rsidR="004427EC" w:rsidRPr="008F5B2E" w:rsidRDefault="004427EC" w:rsidP="004427EC">
      <w:pPr>
        <w:pStyle w:val="Titre1"/>
        <w:rPr>
          <w:rFonts w:asciiTheme="minorHAnsi" w:hAnsiTheme="minorHAnsi" w:cstheme="minorHAnsi"/>
          <w:szCs w:val="22"/>
        </w:rPr>
      </w:pPr>
      <w:r w:rsidRPr="008F5B2E">
        <w:rPr>
          <w:rFonts w:asciiTheme="minorHAnsi" w:hAnsiTheme="minorHAnsi" w:cstheme="minorHAnsi"/>
          <w:szCs w:val="22"/>
        </w:rPr>
        <w:t>TRADING DATE DETAILS</w:t>
      </w:r>
    </w:p>
    <w:p w14:paraId="6000C094" w14:textId="41BEBDE9" w:rsidR="004427EC" w:rsidRPr="008F5B2E" w:rsidRDefault="004427EC" w:rsidP="004427EC">
      <w:pPr>
        <w:pStyle w:val="Titre1"/>
        <w:rPr>
          <w:rFonts w:asciiTheme="minorHAnsi" w:eastAsiaTheme="minorHAnsi" w:hAnsiTheme="minorHAnsi" w:cstheme="minorHAnsi"/>
          <w:b w:val="0"/>
          <w:bCs w:val="0"/>
          <w:caps w:val="0"/>
          <w:szCs w:val="22"/>
        </w:rPr>
      </w:pPr>
      <w:r w:rsidRPr="008F5B2E">
        <w:rPr>
          <w:rFonts w:asciiTheme="minorHAnsi" w:eastAsiaTheme="minorHAnsi" w:hAnsiTheme="minorHAnsi" w:cstheme="minorHAnsi"/>
          <w:b w:val="0"/>
          <w:bCs w:val="0"/>
          <w:caps w:val="0"/>
          <w:szCs w:val="22"/>
        </w:rPr>
        <w:t>The trading date used for the purposes of the test will be</w:t>
      </w:r>
      <w:r w:rsidR="00B534B0">
        <w:rPr>
          <w:rFonts w:asciiTheme="minorHAnsi" w:eastAsiaTheme="minorHAnsi" w:hAnsiTheme="minorHAnsi" w:cstheme="minorHAnsi"/>
          <w:b w:val="0"/>
          <w:bCs w:val="0"/>
          <w:caps w:val="0"/>
          <w:szCs w:val="22"/>
        </w:rPr>
        <w:t xml:space="preserve"> Saturday </w:t>
      </w:r>
      <w:r w:rsidR="00A82CDA">
        <w:rPr>
          <w:rFonts w:asciiTheme="minorHAnsi" w:eastAsiaTheme="minorHAnsi" w:hAnsiTheme="minorHAnsi" w:cstheme="minorHAnsi"/>
          <w:b w:val="0"/>
          <w:bCs w:val="0"/>
          <w:caps w:val="0"/>
          <w:szCs w:val="22"/>
        </w:rPr>
        <w:t xml:space="preserve">24 October </w:t>
      </w:r>
      <w:r w:rsidR="00160316">
        <w:rPr>
          <w:rFonts w:asciiTheme="minorHAnsi" w:eastAsiaTheme="minorHAnsi" w:hAnsiTheme="minorHAnsi" w:cstheme="minorHAnsi"/>
          <w:b w:val="0"/>
          <w:bCs w:val="0"/>
          <w:caps w:val="0"/>
          <w:szCs w:val="22"/>
        </w:rPr>
        <w:t>2020</w:t>
      </w:r>
      <w:r w:rsidRPr="008F5B2E">
        <w:rPr>
          <w:rFonts w:asciiTheme="minorHAnsi" w:eastAsiaTheme="minorHAnsi" w:hAnsiTheme="minorHAnsi" w:cstheme="minorHAnsi"/>
          <w:b w:val="0"/>
          <w:bCs w:val="0"/>
          <w:caps w:val="0"/>
          <w:szCs w:val="22"/>
        </w:rPr>
        <w:t>.</w:t>
      </w:r>
      <w:r>
        <w:rPr>
          <w:rFonts w:asciiTheme="minorHAnsi" w:eastAsiaTheme="minorHAnsi" w:hAnsiTheme="minorHAnsi" w:cstheme="minorHAnsi"/>
          <w:b w:val="0"/>
          <w:bCs w:val="0"/>
          <w:caps w:val="0"/>
          <w:szCs w:val="22"/>
        </w:rPr>
        <w:t xml:space="preserve"> </w:t>
      </w:r>
      <w:r w:rsidRPr="008F5B2E">
        <w:rPr>
          <w:rFonts w:asciiTheme="minorHAnsi" w:eastAsiaTheme="minorHAnsi" w:hAnsiTheme="minorHAnsi" w:cstheme="minorHAnsi"/>
          <w:b w:val="0"/>
          <w:bCs w:val="0"/>
          <w:caps w:val="0"/>
          <w:szCs w:val="22"/>
        </w:rPr>
        <w:t xml:space="preserve">The order book situations will be those of </w:t>
      </w:r>
      <w:r w:rsidR="00B534B0">
        <w:rPr>
          <w:rFonts w:asciiTheme="minorHAnsi" w:eastAsiaTheme="minorHAnsi" w:hAnsiTheme="minorHAnsi" w:cstheme="minorHAnsi"/>
          <w:b w:val="0"/>
          <w:bCs w:val="0"/>
          <w:caps w:val="0"/>
          <w:szCs w:val="22"/>
        </w:rPr>
        <w:t xml:space="preserve">Monday </w:t>
      </w:r>
      <w:r w:rsidR="00A82CDA">
        <w:rPr>
          <w:rFonts w:asciiTheme="minorHAnsi" w:eastAsiaTheme="minorHAnsi" w:hAnsiTheme="minorHAnsi" w:cstheme="minorHAnsi"/>
          <w:b w:val="0"/>
          <w:bCs w:val="0"/>
          <w:caps w:val="0"/>
          <w:szCs w:val="22"/>
        </w:rPr>
        <w:t>26</w:t>
      </w:r>
      <w:r w:rsidR="00160316">
        <w:rPr>
          <w:rFonts w:asciiTheme="minorHAnsi" w:eastAsiaTheme="minorHAnsi" w:hAnsiTheme="minorHAnsi" w:cstheme="minorHAnsi"/>
          <w:b w:val="0"/>
          <w:bCs w:val="0"/>
          <w:caps w:val="0"/>
          <w:szCs w:val="22"/>
        </w:rPr>
        <w:t xml:space="preserve"> </w:t>
      </w:r>
      <w:r w:rsidR="00A82CDA">
        <w:rPr>
          <w:rFonts w:asciiTheme="minorHAnsi" w:eastAsiaTheme="minorHAnsi" w:hAnsiTheme="minorHAnsi" w:cstheme="minorHAnsi"/>
          <w:b w:val="0"/>
          <w:bCs w:val="0"/>
          <w:caps w:val="0"/>
          <w:szCs w:val="22"/>
        </w:rPr>
        <w:t>October</w:t>
      </w:r>
      <w:r w:rsidR="00160316">
        <w:rPr>
          <w:rFonts w:asciiTheme="minorHAnsi" w:eastAsiaTheme="minorHAnsi" w:hAnsiTheme="minorHAnsi" w:cstheme="minorHAnsi"/>
          <w:b w:val="0"/>
          <w:bCs w:val="0"/>
          <w:caps w:val="0"/>
          <w:szCs w:val="22"/>
        </w:rPr>
        <w:t xml:space="preserve"> 2020</w:t>
      </w:r>
      <w:r w:rsidR="0045582F">
        <w:rPr>
          <w:rFonts w:asciiTheme="minorHAnsi" w:eastAsiaTheme="minorHAnsi" w:hAnsiTheme="minorHAnsi" w:cstheme="minorHAnsi"/>
          <w:b w:val="0"/>
          <w:bCs w:val="0"/>
          <w:caps w:val="0"/>
          <w:szCs w:val="22"/>
        </w:rPr>
        <w:t xml:space="preserve"> </w:t>
      </w:r>
      <w:r w:rsidRPr="008F5B2E">
        <w:rPr>
          <w:rFonts w:asciiTheme="minorHAnsi" w:eastAsiaTheme="minorHAnsi" w:hAnsiTheme="minorHAnsi" w:cstheme="minorHAnsi"/>
          <w:b w:val="0"/>
          <w:bCs w:val="0"/>
          <w:caps w:val="0"/>
          <w:szCs w:val="22"/>
        </w:rPr>
        <w:t>before the start of the pre-opening session, i.e. after the corporate events of the evening of</w:t>
      </w:r>
      <w:r w:rsidR="003861C2">
        <w:rPr>
          <w:rFonts w:asciiTheme="minorHAnsi" w:eastAsiaTheme="minorHAnsi" w:hAnsiTheme="minorHAnsi" w:cstheme="minorHAnsi"/>
          <w:b w:val="0"/>
          <w:bCs w:val="0"/>
          <w:caps w:val="0"/>
          <w:szCs w:val="22"/>
        </w:rPr>
        <w:t xml:space="preserve"> </w:t>
      </w:r>
      <w:r w:rsidR="00B534B0">
        <w:rPr>
          <w:rFonts w:asciiTheme="minorHAnsi" w:eastAsiaTheme="minorHAnsi" w:hAnsiTheme="minorHAnsi" w:cstheme="minorHAnsi"/>
          <w:b w:val="0"/>
          <w:bCs w:val="0"/>
          <w:caps w:val="0"/>
          <w:szCs w:val="22"/>
        </w:rPr>
        <w:t xml:space="preserve">Friday </w:t>
      </w:r>
      <w:r w:rsidR="00A82CDA">
        <w:rPr>
          <w:rFonts w:asciiTheme="minorHAnsi" w:eastAsiaTheme="minorHAnsi" w:hAnsiTheme="minorHAnsi" w:cstheme="minorHAnsi"/>
          <w:b w:val="0"/>
          <w:bCs w:val="0"/>
          <w:caps w:val="0"/>
          <w:szCs w:val="22"/>
        </w:rPr>
        <w:t>23</w:t>
      </w:r>
      <w:r w:rsidR="00160316">
        <w:rPr>
          <w:rFonts w:asciiTheme="minorHAnsi" w:eastAsiaTheme="minorHAnsi" w:hAnsiTheme="minorHAnsi" w:cstheme="minorHAnsi"/>
          <w:b w:val="0"/>
          <w:bCs w:val="0"/>
          <w:caps w:val="0"/>
          <w:szCs w:val="22"/>
        </w:rPr>
        <w:t xml:space="preserve"> </w:t>
      </w:r>
      <w:r w:rsidR="00A82CDA">
        <w:rPr>
          <w:rFonts w:asciiTheme="minorHAnsi" w:eastAsiaTheme="minorHAnsi" w:hAnsiTheme="minorHAnsi" w:cstheme="minorHAnsi"/>
          <w:b w:val="0"/>
          <w:bCs w:val="0"/>
          <w:caps w:val="0"/>
          <w:szCs w:val="22"/>
        </w:rPr>
        <w:t>October</w:t>
      </w:r>
      <w:r w:rsidR="00160316">
        <w:rPr>
          <w:rFonts w:asciiTheme="minorHAnsi" w:eastAsiaTheme="minorHAnsi" w:hAnsiTheme="minorHAnsi" w:cstheme="minorHAnsi"/>
          <w:b w:val="0"/>
          <w:bCs w:val="0"/>
          <w:caps w:val="0"/>
          <w:szCs w:val="22"/>
        </w:rPr>
        <w:t xml:space="preserve"> 2020</w:t>
      </w:r>
      <w:r w:rsidRPr="008F5B2E">
        <w:rPr>
          <w:rFonts w:asciiTheme="minorHAnsi" w:eastAsiaTheme="minorHAnsi" w:hAnsiTheme="minorHAnsi" w:cstheme="minorHAnsi"/>
          <w:b w:val="0"/>
          <w:bCs w:val="0"/>
          <w:caps w:val="0"/>
          <w:szCs w:val="22"/>
        </w:rPr>
        <w:t>.</w:t>
      </w:r>
    </w:p>
    <w:p w14:paraId="17E8E8E0" w14:textId="77777777" w:rsidR="004427EC" w:rsidRPr="008F5B2E" w:rsidRDefault="00552159" w:rsidP="004427EC">
      <w:pPr>
        <w:pStyle w:val="Titre1"/>
        <w:rPr>
          <w:rFonts w:asciiTheme="minorHAnsi" w:eastAsiaTheme="minorHAnsi" w:hAnsiTheme="minorHAnsi" w:cstheme="minorHAnsi"/>
          <w:b w:val="0"/>
          <w:bCs w:val="0"/>
          <w:caps w:val="0"/>
          <w:szCs w:val="22"/>
        </w:rPr>
      </w:pPr>
      <w:r>
        <w:rPr>
          <w:rFonts w:asciiTheme="minorHAnsi" w:eastAsiaTheme="minorHAnsi" w:hAnsiTheme="minorHAnsi" w:cstheme="minorHAnsi"/>
          <w:b w:val="0"/>
          <w:bCs w:val="0"/>
          <w:caps w:val="0"/>
          <w:szCs w:val="22"/>
        </w:rPr>
        <w:t>Euronext</w:t>
      </w:r>
      <w:r w:rsidR="004427EC" w:rsidRPr="008F5B2E">
        <w:rPr>
          <w:rFonts w:asciiTheme="minorHAnsi" w:eastAsiaTheme="minorHAnsi" w:hAnsiTheme="minorHAnsi" w:cstheme="minorHAnsi"/>
          <w:b w:val="0"/>
          <w:bCs w:val="0"/>
          <w:caps w:val="0"/>
          <w:szCs w:val="22"/>
        </w:rPr>
        <w:t xml:space="preserve"> recommends members to enter orders as they do in the live environment.</w:t>
      </w:r>
    </w:p>
    <w:p w14:paraId="4F64B6C1" w14:textId="77777777" w:rsidR="006B7EC4" w:rsidRDefault="006B7EC4" w:rsidP="006B7EC4">
      <w:pPr>
        <w:pStyle w:val="Bullet1"/>
        <w:numPr>
          <w:ilvl w:val="0"/>
          <w:numId w:val="0"/>
        </w:numPr>
        <w:ind w:left="340" w:hanging="340"/>
        <w:rPr>
          <w:rFonts w:asciiTheme="minorHAnsi" w:hAnsiTheme="minorHAnsi" w:cstheme="minorHAnsi"/>
          <w:b/>
        </w:rPr>
      </w:pPr>
    </w:p>
    <w:p w14:paraId="6E8F4D0E" w14:textId="7AD86E97" w:rsidR="006B7EC4" w:rsidRDefault="00DF4A84" w:rsidP="006B7EC4">
      <w:pPr>
        <w:pStyle w:val="Bullet1"/>
        <w:numPr>
          <w:ilvl w:val="0"/>
          <w:numId w:val="0"/>
        </w:numPr>
        <w:ind w:left="340" w:hanging="340"/>
        <w:rPr>
          <w:rFonts w:asciiTheme="minorHAnsi" w:hAnsiTheme="minorHAnsi" w:cstheme="minorHAnsi"/>
          <w:b/>
        </w:rPr>
      </w:pPr>
      <w:r w:rsidRPr="006B7EC4">
        <w:rPr>
          <w:rFonts w:asciiTheme="minorHAnsi" w:hAnsiTheme="minorHAnsi" w:cstheme="minorHAnsi"/>
          <w:b/>
        </w:rPr>
        <w:t xml:space="preserve">DR TEST </w:t>
      </w:r>
      <w:r w:rsidR="006B7EC4">
        <w:rPr>
          <w:rFonts w:asciiTheme="minorHAnsi" w:hAnsiTheme="minorHAnsi" w:cstheme="minorHAnsi"/>
          <w:b/>
        </w:rPr>
        <w:t xml:space="preserve">SCHEDULE FOR CASH </w:t>
      </w:r>
      <w:r w:rsidR="0063717C">
        <w:rPr>
          <w:rFonts w:asciiTheme="minorHAnsi" w:hAnsiTheme="minorHAnsi" w:cstheme="minorHAnsi"/>
          <w:b/>
        </w:rPr>
        <w:t xml:space="preserve">&amp; DERIVATIVES </w:t>
      </w:r>
      <w:r w:rsidR="006B7EC4">
        <w:rPr>
          <w:rFonts w:asciiTheme="minorHAnsi" w:hAnsiTheme="minorHAnsi" w:cstheme="minorHAnsi"/>
          <w:b/>
        </w:rPr>
        <w:t>MARKETS</w:t>
      </w:r>
    </w:p>
    <w:p w14:paraId="2241670C" w14:textId="77777777" w:rsidR="006B7EC4" w:rsidRPr="006B7EC4" w:rsidRDefault="006B7EC4" w:rsidP="006B7EC4">
      <w:pPr>
        <w:pStyle w:val="Bullet1"/>
        <w:numPr>
          <w:ilvl w:val="0"/>
          <w:numId w:val="0"/>
        </w:numPr>
        <w:ind w:left="340" w:hanging="340"/>
        <w:rPr>
          <w:b/>
          <w:u w:val="single"/>
        </w:rPr>
      </w:pPr>
    </w:p>
    <w:p w14:paraId="6EAE8901" w14:textId="23E6F69B" w:rsidR="003266E0" w:rsidRPr="00EC59BF" w:rsidRDefault="00CC5976" w:rsidP="006B7EC4">
      <w:pPr>
        <w:pStyle w:val="Bullet1"/>
        <w:numPr>
          <w:ilvl w:val="0"/>
          <w:numId w:val="0"/>
        </w:numPr>
        <w:ind w:left="340" w:hanging="340"/>
        <w:rPr>
          <w:b/>
          <w:u w:val="single"/>
        </w:rPr>
      </w:pPr>
      <w:r w:rsidRPr="00EC59BF">
        <w:rPr>
          <w:b/>
          <w:u w:val="single"/>
        </w:rPr>
        <w:t>Note: All timings are approximate and are stated as CET</w:t>
      </w:r>
    </w:p>
    <w:p w14:paraId="38CAF083" w14:textId="77777777" w:rsidR="009B2E36" w:rsidRDefault="009B2E36" w:rsidP="003266E0">
      <w:pPr>
        <w:pStyle w:val="Bullet1"/>
        <w:numPr>
          <w:ilvl w:val="0"/>
          <w:numId w:val="0"/>
        </w:numPr>
        <w:ind w:left="340"/>
        <w:rPr>
          <w:rFonts w:asciiTheme="minorHAnsi" w:hAnsiTheme="minorHAnsi" w:cstheme="minorHAnsi"/>
        </w:rPr>
      </w:pPr>
    </w:p>
    <w:tbl>
      <w:tblPr>
        <w:tblStyle w:val="Grilledutableau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3"/>
        <w:gridCol w:w="7651"/>
      </w:tblGrid>
      <w:tr w:rsidR="006B7EC4" w14:paraId="77E69460" w14:textId="77777777" w:rsidTr="006B7EC4">
        <w:tc>
          <w:tcPr>
            <w:tcW w:w="1563" w:type="dxa"/>
          </w:tcPr>
          <w:p w14:paraId="36A334B5" w14:textId="77777777" w:rsidR="006B7EC4" w:rsidRDefault="006B7EC4" w:rsidP="003C6C84">
            <w:pPr>
              <w:pStyle w:val="Bullet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Timeline</w:t>
            </w:r>
          </w:p>
        </w:tc>
        <w:tc>
          <w:tcPr>
            <w:tcW w:w="7651" w:type="dxa"/>
          </w:tcPr>
          <w:p w14:paraId="2E29CDA2" w14:textId="77777777" w:rsidR="006B7EC4" w:rsidRDefault="006B7EC4" w:rsidP="003C6C84">
            <w:pPr>
              <w:pStyle w:val="Bullet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Action</w:t>
            </w:r>
          </w:p>
        </w:tc>
      </w:tr>
      <w:tr w:rsidR="006B7EC4" w14:paraId="123D0132" w14:textId="77777777" w:rsidTr="006B7EC4">
        <w:tc>
          <w:tcPr>
            <w:tcW w:w="1563" w:type="dxa"/>
          </w:tcPr>
          <w:p w14:paraId="63D72E32" w14:textId="7814413E" w:rsidR="006B7EC4" w:rsidRDefault="006B7EC4" w:rsidP="003233FF">
            <w:pPr>
              <w:pStyle w:val="Bullet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</w:t>
            </w:r>
            <w:r w:rsidR="003233FF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7651" w:type="dxa"/>
          </w:tcPr>
          <w:p w14:paraId="51140FCD" w14:textId="77777777" w:rsidR="006B7EC4" w:rsidRDefault="006B7EC4" w:rsidP="00AA433D">
            <w:pPr>
              <w:pStyle w:val="Bullet2"/>
              <w:numPr>
                <w:ilvl w:val="0"/>
                <w:numId w:val="35"/>
              </w:numPr>
              <w:ind w:left="459" w:hanging="283"/>
            </w:pPr>
            <w:r>
              <w:t>B</w:t>
            </w:r>
            <w:r w:rsidRPr="008F5B2E">
              <w:t xml:space="preserve">eginning of the test </w:t>
            </w:r>
          </w:p>
          <w:p w14:paraId="0A43015A" w14:textId="77777777" w:rsidR="006B7EC4" w:rsidRDefault="006B7EC4" w:rsidP="007E1A1C">
            <w:pPr>
              <w:pStyle w:val="Bullet1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A5779D">
              <w:t xml:space="preserve">Euronext emails registered participants in order to check the status and timeline in the Market Status </w:t>
            </w:r>
            <w:r w:rsidRPr="00A5779D">
              <w:rPr>
                <w:rFonts w:asciiTheme="minorHAnsi" w:hAnsiTheme="minorHAnsi" w:cstheme="minorHAnsi"/>
              </w:rPr>
              <w:t>web page.</w:t>
            </w:r>
          </w:p>
          <w:p w14:paraId="4A8BF10D" w14:textId="57F12610" w:rsidR="006B7EC4" w:rsidRPr="00D03DB9" w:rsidRDefault="006B7EC4" w:rsidP="00BB0E40">
            <w:pPr>
              <w:pStyle w:val="Bullet2"/>
              <w:numPr>
                <w:ilvl w:val="0"/>
                <w:numId w:val="35"/>
              </w:numPr>
              <w:tabs>
                <w:tab w:val="left" w:pos="427"/>
              </w:tabs>
              <w:ind w:left="143" w:firstLine="0"/>
              <w:rPr>
                <w:rStyle w:val="Lienhypertexte"/>
                <w:rFonts w:asciiTheme="majorHAnsi" w:hAnsiTheme="majorHAnsi"/>
              </w:rPr>
            </w:pPr>
            <w:r w:rsidRPr="00631AB8">
              <w:rPr>
                <w:rFonts w:asciiTheme="majorHAnsi" w:hAnsiTheme="majorHAnsi"/>
              </w:rPr>
              <w:t xml:space="preserve">Participants are invited to check the status and timeline </w:t>
            </w:r>
            <w:r>
              <w:rPr>
                <w:rFonts w:asciiTheme="majorHAnsi" w:hAnsiTheme="majorHAnsi"/>
              </w:rPr>
              <w:t>o</w:t>
            </w:r>
            <w:r w:rsidRPr="00631AB8">
              <w:rPr>
                <w:rFonts w:asciiTheme="majorHAnsi" w:hAnsiTheme="majorHAnsi"/>
              </w:rPr>
              <w:t xml:space="preserve">n the </w:t>
            </w:r>
            <w:r w:rsidR="00D03DB9">
              <w:rPr>
                <w:rFonts w:asciiTheme="majorHAnsi" w:hAnsiTheme="majorHAnsi"/>
              </w:rPr>
              <w:fldChar w:fldCharType="begin"/>
            </w:r>
            <w:r w:rsidR="00D03DB9">
              <w:rPr>
                <w:rFonts w:asciiTheme="majorHAnsi" w:hAnsiTheme="majorHAnsi"/>
              </w:rPr>
              <w:instrText xml:space="preserve"> HYPERLINK "https://www.euronext.com/fr/market-status" </w:instrText>
            </w:r>
            <w:r w:rsidR="00D03DB9">
              <w:rPr>
                <w:rFonts w:asciiTheme="majorHAnsi" w:hAnsiTheme="majorHAnsi"/>
              </w:rPr>
              <w:fldChar w:fldCharType="separate"/>
            </w:r>
            <w:r w:rsidRPr="00D03DB9">
              <w:rPr>
                <w:rStyle w:val="Lienhypertexte"/>
                <w:rFonts w:asciiTheme="majorHAnsi" w:hAnsiTheme="majorHAnsi"/>
              </w:rPr>
              <w:t xml:space="preserve">Market Status </w:t>
            </w:r>
            <w:r w:rsidRPr="00D03DB9">
              <w:rPr>
                <w:rStyle w:val="Lienhypertexte"/>
                <w:rFonts w:asciiTheme="majorHAnsi" w:hAnsiTheme="majorHAnsi" w:cstheme="minorHAnsi"/>
              </w:rPr>
              <w:t>web page</w:t>
            </w:r>
          </w:p>
          <w:p w14:paraId="09AF0AEF" w14:textId="364BEDE9" w:rsidR="006B7EC4" w:rsidRDefault="00D03DB9" w:rsidP="007E1A1C">
            <w:pPr>
              <w:pStyle w:val="Bullet1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6B7EC4" w14:paraId="4F29DEB2" w14:textId="77777777" w:rsidTr="006B7EC4">
        <w:tc>
          <w:tcPr>
            <w:tcW w:w="1563" w:type="dxa"/>
          </w:tcPr>
          <w:p w14:paraId="49638C77" w14:textId="237145B4" w:rsidR="006B7EC4" w:rsidRDefault="003233FF" w:rsidP="003233FF">
            <w:pPr>
              <w:pStyle w:val="Bullet1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="006B7EC4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7651" w:type="dxa"/>
          </w:tcPr>
          <w:p w14:paraId="0B109F01" w14:textId="0F5BF057" w:rsidR="006B7EC4" w:rsidRDefault="006B7EC4" w:rsidP="006B7EC4">
            <w:pPr>
              <w:pStyle w:val="Bullet2"/>
              <w:numPr>
                <w:ilvl w:val="0"/>
                <w:numId w:val="0"/>
              </w:numPr>
              <w:ind w:left="29"/>
            </w:pPr>
            <w:r w:rsidRPr="00571178">
              <w:rPr>
                <w:rFonts w:asciiTheme="minorHAnsi" w:hAnsiTheme="minorHAnsi" w:cstheme="minorHAnsi"/>
              </w:rPr>
              <w:t>Customers start their systems and connect their applications to Euronext DC1 central systems.</w:t>
            </w:r>
          </w:p>
        </w:tc>
      </w:tr>
      <w:tr w:rsidR="006B7EC4" w14:paraId="3CA2672A" w14:textId="77777777" w:rsidTr="006B7EC4">
        <w:tc>
          <w:tcPr>
            <w:tcW w:w="1563" w:type="dxa"/>
          </w:tcPr>
          <w:p w14:paraId="14513187" w14:textId="3E4F014F" w:rsidR="006B7EC4" w:rsidRPr="006B7EC4" w:rsidRDefault="003233FF" w:rsidP="003233FF">
            <w:pPr>
              <w:jc w:val="center"/>
              <w:rPr>
                <w:rFonts w:asciiTheme="minorHAnsi" w:hAnsiTheme="minorHAnsi" w:cstheme="minorHAnsi"/>
              </w:rPr>
            </w:pPr>
            <w:r w:rsidRPr="006B7EC4">
              <w:t>1</w:t>
            </w:r>
            <w:r>
              <w:t>1</w:t>
            </w:r>
            <w:r w:rsidR="006B7EC4" w:rsidRPr="006B7EC4">
              <w:t>:</w:t>
            </w:r>
            <w:r>
              <w:t>0</w:t>
            </w:r>
            <w:r w:rsidR="00D03DB9">
              <w:t>0</w:t>
            </w:r>
            <w:r w:rsidR="006B7EC4" w:rsidRPr="006B7EC4">
              <w:t xml:space="preserve"> </w:t>
            </w:r>
          </w:p>
        </w:tc>
        <w:tc>
          <w:tcPr>
            <w:tcW w:w="7651" w:type="dxa"/>
          </w:tcPr>
          <w:p w14:paraId="09E5B9E0" w14:textId="5A9CC63F" w:rsidR="006B7EC4" w:rsidRDefault="006B7EC4" w:rsidP="00D03DB9">
            <w:pPr>
              <w:pStyle w:val="Bullet1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t xml:space="preserve"> </w:t>
            </w:r>
            <w:r w:rsidRPr="008F5B2E">
              <w:t xml:space="preserve">Market data referential messages will be published </w:t>
            </w:r>
          </w:p>
        </w:tc>
      </w:tr>
      <w:tr w:rsidR="006B7EC4" w14:paraId="659604DD" w14:textId="77777777" w:rsidTr="006B7EC4">
        <w:tc>
          <w:tcPr>
            <w:tcW w:w="1563" w:type="dxa"/>
          </w:tcPr>
          <w:p w14:paraId="3D5C7B31" w14:textId="7F1AC230" w:rsidR="006B7EC4" w:rsidRDefault="006B7EC4" w:rsidP="003233F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5B2E">
              <w:t>1</w:t>
            </w:r>
            <w:r>
              <w:t>1:</w:t>
            </w:r>
            <w:r w:rsidR="003233FF">
              <w:t>30</w:t>
            </w:r>
          </w:p>
        </w:tc>
        <w:tc>
          <w:tcPr>
            <w:tcW w:w="7651" w:type="dxa"/>
          </w:tcPr>
          <w:p w14:paraId="1FEEE4D7" w14:textId="77777777" w:rsidR="006B7EC4" w:rsidRDefault="006B7EC4" w:rsidP="00672505">
            <w:r>
              <w:t>On DC1:</w:t>
            </w:r>
          </w:p>
          <w:p w14:paraId="2ACDBE02" w14:textId="77777777" w:rsidR="006B7EC4" w:rsidRDefault="006B7EC4" w:rsidP="006B7EC4">
            <w:pPr>
              <w:pStyle w:val="Paragraphedeliste"/>
              <w:numPr>
                <w:ilvl w:val="0"/>
                <w:numId w:val="41"/>
              </w:numPr>
            </w:pPr>
            <w:r>
              <w:t>P</w:t>
            </w:r>
            <w:r w:rsidRPr="008F5B2E">
              <w:t>re-opening phase (Core call) on DC1</w:t>
            </w:r>
          </w:p>
          <w:p w14:paraId="25354A29" w14:textId="79FC5989" w:rsidR="006B7EC4" w:rsidRPr="006B7EC4" w:rsidRDefault="006B7EC4" w:rsidP="006B7EC4">
            <w:pPr>
              <w:pStyle w:val="Paragraphedeliste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>
              <w:t>Customers</w:t>
            </w:r>
            <w:r w:rsidRPr="008F5B2E">
              <w:t xml:space="preserve"> can connect and send orders to the trading platforms</w:t>
            </w:r>
          </w:p>
        </w:tc>
      </w:tr>
      <w:tr w:rsidR="006B7EC4" w14:paraId="7A28127B" w14:textId="77777777" w:rsidTr="006B7EC4">
        <w:tc>
          <w:tcPr>
            <w:tcW w:w="1563" w:type="dxa"/>
          </w:tcPr>
          <w:p w14:paraId="74CB2522" w14:textId="77777777" w:rsidR="006B7EC4" w:rsidRDefault="006B7EC4" w:rsidP="003233FF">
            <w:pPr>
              <w:jc w:val="center"/>
              <w:rPr>
                <w:rFonts w:asciiTheme="minorHAnsi" w:hAnsiTheme="minorHAnsi" w:cstheme="minorHAnsi"/>
              </w:rPr>
            </w:pPr>
            <w:r w:rsidRPr="00981F1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1</w:t>
            </w:r>
            <w:r w:rsidRPr="00981F1F">
              <w:rPr>
                <w:rFonts w:asciiTheme="minorHAnsi" w:hAnsiTheme="minorHAnsi" w:cstheme="minorHAnsi"/>
              </w:rPr>
              <w:t>:</w:t>
            </w:r>
            <w:r w:rsidR="003233FF">
              <w:rPr>
                <w:rFonts w:asciiTheme="minorHAnsi" w:hAnsiTheme="minorHAnsi" w:cstheme="minorHAnsi"/>
              </w:rPr>
              <w:t>45</w:t>
            </w:r>
          </w:p>
          <w:p w14:paraId="47458659" w14:textId="6957FB6E" w:rsidR="00D03DB9" w:rsidRPr="00981F1F" w:rsidRDefault="00D03DB9" w:rsidP="003233F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51" w:type="dxa"/>
          </w:tcPr>
          <w:p w14:paraId="513FEC08" w14:textId="1D8AE6F6" w:rsidR="006B7EC4" w:rsidRDefault="006B7EC4" w:rsidP="00AA433D">
            <w:pPr>
              <w:pStyle w:val="Bullet1"/>
              <w:numPr>
                <w:ilvl w:val="0"/>
                <w:numId w:val="35"/>
              </w:numPr>
              <w:ind w:left="459" w:hanging="142"/>
            </w:pPr>
            <w:r w:rsidRPr="008F5B2E">
              <w:t>Opening and Continuous Trading Session</w:t>
            </w:r>
            <w:r w:rsidR="00D03DB9">
              <w:t xml:space="preserve"> </w:t>
            </w:r>
          </w:p>
          <w:p w14:paraId="17B6FF32" w14:textId="483FF6AD" w:rsidR="006B7EC4" w:rsidRDefault="006B7EC4" w:rsidP="006B7EC4">
            <w:pPr>
              <w:pStyle w:val="Bullet2"/>
              <w:numPr>
                <w:ilvl w:val="0"/>
                <w:numId w:val="35"/>
              </w:numPr>
              <w:ind w:left="459" w:hanging="142"/>
              <w:rPr>
                <w:rFonts w:asciiTheme="minorHAnsi" w:hAnsiTheme="minorHAnsi" w:cstheme="minorHAnsi"/>
              </w:rPr>
            </w:pPr>
            <w:r w:rsidRPr="008F5B2E">
              <w:t>Customers can trade on all trading engines (including TCS)</w:t>
            </w:r>
          </w:p>
        </w:tc>
      </w:tr>
      <w:tr w:rsidR="006B7EC4" w14:paraId="5D536761" w14:textId="77777777" w:rsidTr="006B7EC4">
        <w:tc>
          <w:tcPr>
            <w:tcW w:w="1563" w:type="dxa"/>
          </w:tcPr>
          <w:p w14:paraId="02B47542" w14:textId="77777777" w:rsidR="006B7EC4" w:rsidRDefault="006B7EC4" w:rsidP="00C506B2">
            <w:pPr>
              <w:jc w:val="center"/>
            </w:pPr>
            <w:r w:rsidRPr="008F5B2E">
              <w:t>1</w:t>
            </w:r>
            <w:r>
              <w:t>3</w:t>
            </w:r>
            <w:r w:rsidRPr="008F5B2E">
              <w:t>:</w:t>
            </w:r>
            <w:r>
              <w:t>00</w:t>
            </w:r>
          </w:p>
          <w:p w14:paraId="6E59E1E1" w14:textId="600305DE" w:rsidR="003233FF" w:rsidRDefault="003233FF" w:rsidP="00C506B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t>13:30</w:t>
            </w:r>
          </w:p>
        </w:tc>
        <w:tc>
          <w:tcPr>
            <w:tcW w:w="7651" w:type="dxa"/>
          </w:tcPr>
          <w:p w14:paraId="093B75D8" w14:textId="77777777" w:rsidR="006B7EC4" w:rsidRDefault="006B7EC4" w:rsidP="00460D16">
            <w:pPr>
              <w:pStyle w:val="Bullet1"/>
            </w:pPr>
            <w:r>
              <w:t>A</w:t>
            </w:r>
            <w:r w:rsidRPr="008F5B2E">
              <w:t>pprox</w:t>
            </w:r>
            <w:r>
              <w:t>imate time of the disaster event</w:t>
            </w:r>
          </w:p>
          <w:p w14:paraId="492491BF" w14:textId="77777777" w:rsidR="006B7EC4" w:rsidRDefault="006B7EC4" w:rsidP="00460D16">
            <w:pPr>
              <w:pStyle w:val="Bullet1"/>
            </w:pPr>
            <w:r w:rsidRPr="008F5B2E">
              <w:t>Beginning of the failover from DC1 to DC2</w:t>
            </w:r>
          </w:p>
          <w:p w14:paraId="1AF821A8" w14:textId="7C39E815" w:rsidR="006B7EC4" w:rsidRPr="008F5B2E" w:rsidRDefault="006B7EC4" w:rsidP="00460D16">
            <w:pPr>
              <w:pStyle w:val="Bullet2"/>
            </w:pPr>
            <w:r>
              <w:rPr>
                <w:rFonts w:asciiTheme="minorHAnsi" w:hAnsiTheme="minorHAnsi" w:cstheme="minorHAnsi"/>
              </w:rPr>
              <w:t xml:space="preserve">Order Entry </w:t>
            </w:r>
            <w:r w:rsidRPr="008F5B2E">
              <w:rPr>
                <w:rFonts w:asciiTheme="minorHAnsi" w:hAnsiTheme="minorHAnsi" w:cstheme="minorHAnsi"/>
              </w:rPr>
              <w:t>access means disconnected from the markets</w:t>
            </w:r>
          </w:p>
          <w:p w14:paraId="3C2FF8A2" w14:textId="3547AD26" w:rsidR="006B7EC4" w:rsidRDefault="006B7EC4" w:rsidP="00460D16">
            <w:pPr>
              <w:pStyle w:val="Sansinterligne"/>
              <w:ind w:left="318"/>
              <w:rPr>
                <w:rFonts w:asciiTheme="minorHAnsi" w:hAnsiTheme="minorHAnsi" w:cstheme="minorHAnsi"/>
                <w:b/>
                <w:i/>
                <w:color w:val="008D7F" w:themeColor="text1"/>
              </w:rPr>
            </w:pPr>
            <w:r w:rsidRPr="00981F1F">
              <w:rPr>
                <w:b/>
                <w:i/>
                <w:color w:val="008D7F" w:themeColor="text1"/>
              </w:rPr>
              <w:t xml:space="preserve">Market Status message: Trading halt and fail-over on DC2 due to a disaster event on Euronext </w:t>
            </w:r>
            <w:r w:rsidRPr="00981F1F">
              <w:rPr>
                <w:rFonts w:asciiTheme="minorHAnsi" w:hAnsiTheme="minorHAnsi" w:cstheme="minorHAnsi"/>
                <w:b/>
                <w:i/>
                <w:color w:val="008D7F" w:themeColor="text1"/>
              </w:rPr>
              <w:t>Markets.</w:t>
            </w:r>
          </w:p>
          <w:p w14:paraId="17622716" w14:textId="77777777" w:rsidR="006B7EC4" w:rsidRPr="00981F1F" w:rsidRDefault="006B7EC4" w:rsidP="00460D16">
            <w:pPr>
              <w:pStyle w:val="Sansinterligne"/>
              <w:ind w:firstLine="680"/>
              <w:rPr>
                <w:rFonts w:asciiTheme="minorHAnsi" w:hAnsiTheme="minorHAnsi" w:cstheme="minorHAnsi"/>
                <w:b/>
                <w:i/>
                <w:color w:val="008D7F" w:themeColor="text1"/>
              </w:rPr>
            </w:pPr>
          </w:p>
          <w:p w14:paraId="2B822E5E" w14:textId="19CA4973" w:rsidR="006B7EC4" w:rsidRPr="00E837FA" w:rsidRDefault="006B7EC4" w:rsidP="00460D16">
            <w:pPr>
              <w:pStyle w:val="Bullet1"/>
              <w:numPr>
                <w:ilvl w:val="0"/>
                <w:numId w:val="0"/>
              </w:numPr>
              <w:ind w:left="340"/>
            </w:pPr>
            <w:r>
              <w:lastRenderedPageBreak/>
              <w:t>Euronext</w:t>
            </w:r>
            <w:r w:rsidRPr="008F5B2E">
              <w:t xml:space="preserve"> will then complete the failover procedure from DC1 to DC2 and carry out all necessary</w:t>
            </w:r>
            <w:r>
              <w:t xml:space="preserve"> </w:t>
            </w:r>
            <w:r w:rsidRPr="004427EC">
              <w:rPr>
                <w:rFonts w:asciiTheme="minorHAnsi" w:hAnsiTheme="minorHAnsi" w:cstheme="minorHAnsi"/>
              </w:rPr>
              <w:t xml:space="preserve">assessments to check the platform readiness of DC2. Customers will then be given our readiness status to reconnect. Members must shift their network connection to DC2 as explained in the </w:t>
            </w:r>
            <w:r w:rsidRPr="00021E17">
              <w:rPr>
                <w:rFonts w:asciiTheme="minorHAnsi" w:hAnsiTheme="minorHAnsi" w:cstheme="minorHAnsi"/>
              </w:rPr>
              <w:t>‘</w:t>
            </w:r>
            <w:r w:rsidRPr="00E837FA">
              <w:rPr>
                <w:rFonts w:asciiTheme="minorHAnsi" w:hAnsiTheme="minorHAnsi" w:cstheme="minorHAnsi"/>
              </w:rPr>
              <w:t xml:space="preserve">Details for </w:t>
            </w:r>
            <w:r>
              <w:rPr>
                <w:rFonts w:asciiTheme="minorHAnsi" w:hAnsiTheme="minorHAnsi" w:cstheme="minorHAnsi"/>
              </w:rPr>
              <w:t>O</w:t>
            </w:r>
            <w:r w:rsidRPr="00E837FA">
              <w:rPr>
                <w:rFonts w:asciiTheme="minorHAnsi" w:hAnsiTheme="minorHAnsi" w:cstheme="minorHAnsi"/>
              </w:rPr>
              <w:t>rder Entry Connections’</w:t>
            </w:r>
            <w:r w:rsidRPr="00021E17">
              <w:rPr>
                <w:rFonts w:asciiTheme="minorHAnsi" w:hAnsiTheme="minorHAnsi" w:cstheme="minorHAnsi"/>
              </w:rPr>
              <w:t xml:space="preserve"> section of this document below.</w:t>
            </w:r>
          </w:p>
          <w:p w14:paraId="3C39888B" w14:textId="77777777" w:rsidR="006B7EC4" w:rsidRDefault="006B7EC4" w:rsidP="00460D16">
            <w:pPr>
              <w:ind w:firstLine="340"/>
              <w:rPr>
                <w:rFonts w:asciiTheme="minorHAnsi" w:hAnsiTheme="minorHAnsi" w:cstheme="minorHAnsi"/>
                <w:b/>
              </w:rPr>
            </w:pPr>
          </w:p>
        </w:tc>
      </w:tr>
      <w:tr w:rsidR="006B7EC4" w14:paraId="11ABD409" w14:textId="77777777" w:rsidTr="006B7EC4">
        <w:tc>
          <w:tcPr>
            <w:tcW w:w="1563" w:type="dxa"/>
          </w:tcPr>
          <w:p w14:paraId="63B1D9FD" w14:textId="788B6137" w:rsidR="006B7EC4" w:rsidRDefault="006B7EC4" w:rsidP="00C506B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5B2E">
              <w:lastRenderedPageBreak/>
              <w:t>1</w:t>
            </w:r>
            <w:r>
              <w:t>5</w:t>
            </w:r>
            <w:r w:rsidRPr="008F5B2E">
              <w:t>:</w:t>
            </w:r>
            <w:r>
              <w:t>00</w:t>
            </w:r>
          </w:p>
        </w:tc>
        <w:tc>
          <w:tcPr>
            <w:tcW w:w="7651" w:type="dxa"/>
          </w:tcPr>
          <w:p w14:paraId="3904B260" w14:textId="411ECF97" w:rsidR="006B7EC4" w:rsidRPr="006B7EC4" w:rsidRDefault="006B7EC4" w:rsidP="006B7EC4">
            <w:pPr>
              <w:pStyle w:val="Bullet1"/>
              <w:numPr>
                <w:ilvl w:val="0"/>
                <w:numId w:val="42"/>
              </w:numPr>
              <w:ind w:left="313" w:hanging="284"/>
            </w:pPr>
            <w:r w:rsidRPr="006B7EC4">
              <w:t>Market Data heartbeat messages will be sent on Marke</w:t>
            </w:r>
            <w:r>
              <w:t xml:space="preserve">t </w:t>
            </w:r>
            <w:r w:rsidRPr="006B7EC4">
              <w:t>Data multicast channels from DC2.</w:t>
            </w:r>
          </w:p>
          <w:p w14:paraId="043BE332" w14:textId="77777777" w:rsidR="006B7EC4" w:rsidRPr="004427EC" w:rsidRDefault="006B7EC4" w:rsidP="00460D16">
            <w:pPr>
              <w:pStyle w:val="Bullet2"/>
              <w:rPr>
                <w:rFonts w:asciiTheme="minorHAnsi" w:hAnsiTheme="minorHAnsi" w:cstheme="minorHAnsi"/>
              </w:rPr>
            </w:pPr>
            <w:r w:rsidRPr="004427EC">
              <w:t xml:space="preserve">Allowing customer to check their Market Data feed reception from </w:t>
            </w:r>
            <w:r>
              <w:t>Euronext</w:t>
            </w:r>
            <w:r w:rsidRPr="004427EC">
              <w:t xml:space="preserve"> Disaster Recovery</w:t>
            </w:r>
            <w:r>
              <w:t xml:space="preserve"> </w:t>
            </w:r>
            <w:r w:rsidRPr="004427EC">
              <w:rPr>
                <w:rFonts w:asciiTheme="minorHAnsi" w:hAnsiTheme="minorHAnsi" w:cstheme="minorHAnsi"/>
              </w:rPr>
              <w:t>site.</w:t>
            </w:r>
          </w:p>
          <w:p w14:paraId="58CD5CB2" w14:textId="388F3AE9" w:rsidR="006B7EC4" w:rsidRDefault="006B7EC4" w:rsidP="006B7EC4">
            <w:pPr>
              <w:ind w:firstLine="340"/>
              <w:rPr>
                <w:rFonts w:asciiTheme="minorHAnsi" w:hAnsiTheme="minorHAnsi" w:cstheme="minorHAnsi"/>
                <w:b/>
              </w:rPr>
            </w:pPr>
            <w:r w:rsidRPr="003E170B">
              <w:rPr>
                <w:rFonts w:asciiTheme="minorHAnsi" w:hAnsiTheme="minorHAnsi" w:cstheme="minorHAnsi"/>
                <w:b/>
                <w:i/>
                <w:color w:val="008D7F" w:themeColor="text1"/>
              </w:rPr>
              <w:t>Market Status message: Trading platform in DC2 is available to connect.</w:t>
            </w:r>
          </w:p>
        </w:tc>
      </w:tr>
      <w:tr w:rsidR="006B7EC4" w14:paraId="036558CA" w14:textId="77777777" w:rsidTr="006B7EC4">
        <w:tc>
          <w:tcPr>
            <w:tcW w:w="1563" w:type="dxa"/>
          </w:tcPr>
          <w:p w14:paraId="07F21505" w14:textId="3990A043" w:rsidR="006B7EC4" w:rsidRDefault="006B7EC4" w:rsidP="003233F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5B2E">
              <w:t>1</w:t>
            </w:r>
            <w:r>
              <w:t>5</w:t>
            </w:r>
            <w:r w:rsidRPr="008F5B2E">
              <w:t>:</w:t>
            </w:r>
            <w:r w:rsidR="003233FF">
              <w:t>15</w:t>
            </w:r>
          </w:p>
        </w:tc>
        <w:tc>
          <w:tcPr>
            <w:tcW w:w="7651" w:type="dxa"/>
          </w:tcPr>
          <w:p w14:paraId="6D1D19AF" w14:textId="2A5A202D" w:rsidR="006B7EC4" w:rsidRPr="00672505" w:rsidRDefault="006B7EC4" w:rsidP="006B7EC4">
            <w:pPr>
              <w:pStyle w:val="Bullet1"/>
              <w:numPr>
                <w:ilvl w:val="0"/>
                <w:numId w:val="42"/>
              </w:numPr>
              <w:ind w:left="313" w:hanging="284"/>
            </w:pPr>
            <w:r w:rsidRPr="00672505">
              <w:t xml:space="preserve">Euronext advises clients that DC2 is ready, authorizing </w:t>
            </w:r>
            <w:r>
              <w:t xml:space="preserve">Order Entry </w:t>
            </w:r>
            <w:r w:rsidRPr="00672505">
              <w:t xml:space="preserve">connections. </w:t>
            </w:r>
          </w:p>
          <w:p w14:paraId="5AE68767" w14:textId="0EAB11A3" w:rsidR="006B7EC4" w:rsidRPr="00672505" w:rsidRDefault="006B7EC4" w:rsidP="006B7EC4">
            <w:pPr>
              <w:ind w:firstLine="340"/>
              <w:rPr>
                <w:rFonts w:asciiTheme="minorHAnsi" w:hAnsiTheme="minorHAnsi" w:cstheme="minorHAnsi"/>
                <w:b/>
              </w:rPr>
            </w:pPr>
            <w:r w:rsidRPr="00672505">
              <w:rPr>
                <w:rFonts w:asciiTheme="minorHAnsi" w:hAnsiTheme="minorHAnsi" w:cstheme="minorHAnsi"/>
                <w:b/>
                <w:i/>
                <w:color w:val="008D7F" w:themeColor="text1"/>
              </w:rPr>
              <w:t>Market Status message: Trading to resume on DC2</w:t>
            </w:r>
          </w:p>
        </w:tc>
      </w:tr>
      <w:tr w:rsidR="006B7EC4" w14:paraId="3D58EB1C" w14:textId="77777777" w:rsidTr="006B7EC4">
        <w:tc>
          <w:tcPr>
            <w:tcW w:w="1563" w:type="dxa"/>
          </w:tcPr>
          <w:p w14:paraId="4447FCC7" w14:textId="32D42A05" w:rsidR="006B7EC4" w:rsidRDefault="003233FF" w:rsidP="00460D16">
            <w:pPr>
              <w:jc w:val="center"/>
            </w:pPr>
            <w:r>
              <w:t xml:space="preserve">15:30 </w:t>
            </w:r>
          </w:p>
          <w:p w14:paraId="14ED5F0D" w14:textId="77777777" w:rsidR="003233FF" w:rsidRDefault="003233FF" w:rsidP="00460D16">
            <w:pPr>
              <w:jc w:val="center"/>
            </w:pPr>
            <w:r>
              <w:t>15:45</w:t>
            </w:r>
          </w:p>
          <w:p w14:paraId="620BDD86" w14:textId="2951DAEA" w:rsidR="003233FF" w:rsidRPr="008F5B2E" w:rsidRDefault="003233FF" w:rsidP="00460D16">
            <w:pPr>
              <w:jc w:val="center"/>
            </w:pPr>
          </w:p>
        </w:tc>
        <w:tc>
          <w:tcPr>
            <w:tcW w:w="7651" w:type="dxa"/>
          </w:tcPr>
          <w:p w14:paraId="7C3E5AF5" w14:textId="77777777" w:rsidR="006B7EC4" w:rsidRPr="00672505" w:rsidRDefault="006B7EC4" w:rsidP="00460D16">
            <w:pPr>
              <w:pStyle w:val="Bullet1"/>
            </w:pPr>
            <w:r w:rsidRPr="00672505">
              <w:t>Pre-opening period on DC2: Customers may send orders</w:t>
            </w:r>
          </w:p>
          <w:p w14:paraId="16FFFBA9" w14:textId="79A880B8" w:rsidR="006B7EC4" w:rsidRPr="00672505" w:rsidRDefault="006B7EC4" w:rsidP="00CC0F11">
            <w:pPr>
              <w:pStyle w:val="Bullet1"/>
            </w:pPr>
            <w:r w:rsidRPr="00672505">
              <w:t>Opening and Continuous Trading Session on DC2:</w:t>
            </w:r>
            <w:r w:rsidR="00CC0F11">
              <w:t xml:space="preserve"> </w:t>
            </w:r>
            <w:r w:rsidRPr="00672505">
              <w:t xml:space="preserve">Customers can trade on </w:t>
            </w:r>
            <w:r>
              <w:t>Euronext</w:t>
            </w:r>
            <w:r w:rsidR="0045582F">
              <w:t xml:space="preserve"> Market</w:t>
            </w:r>
            <w:r w:rsidR="00CC0F11">
              <w:t>.</w:t>
            </w:r>
          </w:p>
        </w:tc>
      </w:tr>
      <w:tr w:rsidR="006B7EC4" w14:paraId="4124E816" w14:textId="77777777" w:rsidTr="006B7EC4">
        <w:tc>
          <w:tcPr>
            <w:tcW w:w="1563" w:type="dxa"/>
          </w:tcPr>
          <w:p w14:paraId="17405848" w14:textId="3F8F96B2" w:rsidR="006B7EC4" w:rsidRPr="008F5B2E" w:rsidRDefault="003233FF" w:rsidP="003233FF">
            <w:pPr>
              <w:jc w:val="center"/>
            </w:pPr>
            <w:r w:rsidRPr="00981F1F">
              <w:t>1</w:t>
            </w:r>
            <w:r>
              <w:t>6</w:t>
            </w:r>
            <w:r w:rsidR="006B7EC4">
              <w:t>:</w:t>
            </w:r>
            <w:r>
              <w:t>30</w:t>
            </w:r>
          </w:p>
        </w:tc>
        <w:tc>
          <w:tcPr>
            <w:tcW w:w="7651" w:type="dxa"/>
          </w:tcPr>
          <w:p w14:paraId="1A878419" w14:textId="03B333B0" w:rsidR="006B7EC4" w:rsidRDefault="006B7EC4" w:rsidP="00460D16">
            <w:pPr>
              <w:pStyle w:val="Bullet1"/>
            </w:pPr>
            <w:r w:rsidRPr="008F5B2E">
              <w:t>End of the test</w:t>
            </w:r>
          </w:p>
          <w:p w14:paraId="5BE36090" w14:textId="77777777" w:rsidR="006B7EC4" w:rsidRPr="004427EC" w:rsidRDefault="006B7EC4" w:rsidP="006B7EC4">
            <w:pPr>
              <w:pStyle w:val="Bullet1"/>
            </w:pPr>
            <w:r w:rsidRPr="004427EC">
              <w:t xml:space="preserve">Customers can disconnect from </w:t>
            </w:r>
            <w:r>
              <w:t>Euronext</w:t>
            </w:r>
            <w:r w:rsidRPr="004427EC">
              <w:t xml:space="preserve"> central systems</w:t>
            </w:r>
          </w:p>
          <w:p w14:paraId="3CFC57F8" w14:textId="77777777" w:rsidR="006B7EC4" w:rsidRPr="004427EC" w:rsidRDefault="006B7EC4" w:rsidP="00460D16">
            <w:pPr>
              <w:ind w:firstLine="680"/>
              <w:rPr>
                <w:rFonts w:asciiTheme="minorHAnsi" w:hAnsiTheme="minorHAnsi" w:cstheme="minorHAnsi"/>
                <w:b/>
                <w:i/>
                <w:color w:val="008D7F" w:themeColor="text1"/>
              </w:rPr>
            </w:pPr>
            <w:r w:rsidRPr="004427EC">
              <w:rPr>
                <w:rFonts w:asciiTheme="minorHAnsi" w:hAnsiTheme="minorHAnsi" w:cstheme="minorHAnsi"/>
                <w:b/>
                <w:i/>
                <w:color w:val="008D7F" w:themeColor="text1"/>
              </w:rPr>
              <w:t>Market Status message: End of the Disaster Recovery tests</w:t>
            </w:r>
          </w:p>
          <w:p w14:paraId="7DC1E42B" w14:textId="54E48F94" w:rsidR="006B7EC4" w:rsidRPr="008F5B2E" w:rsidRDefault="006B7EC4" w:rsidP="00D03DB9">
            <w:pPr>
              <w:pStyle w:val="Bullet1"/>
            </w:pPr>
            <w:r w:rsidRPr="008F5B2E">
              <w:t xml:space="preserve">After the test, customers must roll back their internal systems to the situation of the evening of </w:t>
            </w:r>
            <w:r w:rsidRPr="00B4503B">
              <w:t xml:space="preserve">Friday, </w:t>
            </w:r>
            <w:r w:rsidR="004A6A42">
              <w:t>23</w:t>
            </w:r>
            <w:r w:rsidR="00160316">
              <w:t xml:space="preserve"> </w:t>
            </w:r>
            <w:proofErr w:type="spellStart"/>
            <w:r w:rsidR="004A6A42">
              <w:t>Octobre</w:t>
            </w:r>
            <w:proofErr w:type="spellEnd"/>
            <w:r w:rsidR="00160316">
              <w:t xml:space="preserve"> 2020</w:t>
            </w:r>
            <w:r w:rsidR="0045582F">
              <w:t xml:space="preserve"> </w:t>
            </w:r>
            <w:r w:rsidRPr="00B4503B">
              <w:rPr>
                <w:rFonts w:asciiTheme="minorHAnsi" w:hAnsiTheme="minorHAnsi" w:cstheme="minorHAnsi"/>
              </w:rPr>
              <w:t>(</w:t>
            </w:r>
            <w:r w:rsidRPr="004427EC">
              <w:rPr>
                <w:rFonts w:asciiTheme="minorHAnsi" w:hAnsiTheme="minorHAnsi" w:cstheme="minorHAnsi"/>
              </w:rPr>
              <w:t>after corporate events and order cancellations).</w:t>
            </w:r>
          </w:p>
        </w:tc>
      </w:tr>
      <w:tr w:rsidR="006B7EC4" w14:paraId="2744E6FE" w14:textId="77777777" w:rsidTr="006B7EC4">
        <w:tc>
          <w:tcPr>
            <w:tcW w:w="1563" w:type="dxa"/>
          </w:tcPr>
          <w:p w14:paraId="3FE85DA6" w14:textId="1CEE25C6" w:rsidR="006B7EC4" w:rsidRPr="00957F03" w:rsidRDefault="006B7EC4" w:rsidP="003233FF">
            <w:pPr>
              <w:pStyle w:val="Default"/>
              <w:spacing w:after="6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7F03">
              <w:rPr>
                <w:rFonts w:asciiTheme="minorHAnsi" w:hAnsiTheme="minorHAnsi" w:cstheme="minorHAnsi"/>
                <w:sz w:val="22"/>
                <w:szCs w:val="22"/>
              </w:rPr>
              <w:t xml:space="preserve">Post </w:t>
            </w:r>
            <w:r w:rsidR="003233FF" w:rsidRPr="00957F0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233F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957F0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233FF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7651" w:type="dxa"/>
          </w:tcPr>
          <w:p w14:paraId="56B0F4E3" w14:textId="511BFA46" w:rsidR="006B7EC4" w:rsidRPr="00803BF8" w:rsidRDefault="0018268B" w:rsidP="00E81B4B">
            <w:pPr>
              <w:pStyle w:val="Sansinterligne"/>
              <w:rPr>
                <w:rFonts w:asciiTheme="minorHAnsi" w:hAnsiTheme="minorHAnsi" w:cstheme="minorHAnsi"/>
              </w:rPr>
            </w:pPr>
            <w:r>
              <w:rPr>
                <w:rFonts w:cs="Calibri"/>
                <w:color w:val="000000"/>
                <w:lang w:val="en-US"/>
              </w:rPr>
              <w:t>M</w:t>
            </w:r>
            <w:r w:rsidR="00803BF8" w:rsidRPr="00803BF8">
              <w:rPr>
                <w:rFonts w:cs="Calibri"/>
                <w:color w:val="000000"/>
                <w:lang w:val="en-US"/>
              </w:rPr>
              <w:t xml:space="preserve">ember firms should </w:t>
            </w:r>
            <w:r w:rsidR="00C338F1">
              <w:rPr>
                <w:rFonts w:cs="Calibri"/>
                <w:color w:val="000000"/>
                <w:lang w:val="en-US"/>
              </w:rPr>
              <w:t xml:space="preserve">confirmed </w:t>
            </w:r>
            <w:r w:rsidR="00803BF8" w:rsidRPr="00803BF8">
              <w:rPr>
                <w:rFonts w:cs="Calibri"/>
                <w:color w:val="000000"/>
                <w:lang w:val="en-US"/>
              </w:rPr>
              <w:t xml:space="preserve">the Disaster Recovery </w:t>
            </w:r>
            <w:r w:rsidR="00803BF8">
              <w:rPr>
                <w:rFonts w:cs="Calibri"/>
                <w:color w:val="000000"/>
                <w:lang w:val="en-US"/>
              </w:rPr>
              <w:t xml:space="preserve">test results </w:t>
            </w:r>
            <w:r w:rsidR="00C338F1">
              <w:rPr>
                <w:rFonts w:cs="Calibri"/>
                <w:color w:val="000000"/>
                <w:lang w:val="en-US"/>
              </w:rPr>
              <w:t xml:space="preserve">by email to </w:t>
            </w:r>
            <w:r w:rsidR="00803BF8" w:rsidRPr="00803BF8">
              <w:rPr>
                <w:rFonts w:cs="Calibri"/>
                <w:color w:val="000000"/>
                <w:lang w:val="en-US"/>
              </w:rPr>
              <w:t xml:space="preserve"> </w:t>
            </w:r>
            <w:hyperlink r:id="rId11" w:history="1">
              <w:r w:rsidR="00B444F2">
                <w:rPr>
                  <w:rStyle w:val="Lienhypertexte"/>
                  <w:rFonts w:cs="Calibri"/>
                  <w:lang w:val="en-US"/>
                </w:rPr>
                <w:t>clientsupport@euronext.com</w:t>
              </w:r>
            </w:hyperlink>
          </w:p>
        </w:tc>
      </w:tr>
    </w:tbl>
    <w:p w14:paraId="195E6CE0" w14:textId="77777777" w:rsidR="004427EC" w:rsidRPr="00672505" w:rsidRDefault="004427EC" w:rsidP="004427EC">
      <w:pPr>
        <w:pStyle w:val="Titre1"/>
        <w:rPr>
          <w:rFonts w:asciiTheme="minorHAnsi" w:hAnsiTheme="minorHAnsi" w:cstheme="minorHAnsi"/>
          <w:szCs w:val="22"/>
        </w:rPr>
      </w:pPr>
      <w:r w:rsidRPr="00672505">
        <w:rPr>
          <w:rFonts w:asciiTheme="minorHAnsi" w:hAnsiTheme="minorHAnsi" w:cstheme="minorHAnsi"/>
          <w:szCs w:val="22"/>
        </w:rPr>
        <w:t>important reminders</w:t>
      </w:r>
    </w:p>
    <w:p w14:paraId="5683959B" w14:textId="5C17A152" w:rsidR="004427EC" w:rsidRPr="00672505" w:rsidRDefault="004427EC" w:rsidP="004427EC">
      <w:pPr>
        <w:pStyle w:val="Bullet1"/>
      </w:pPr>
      <w:r w:rsidRPr="00672505">
        <w:t xml:space="preserve">During the fail-over from DC1 to DC2, </w:t>
      </w:r>
      <w:r w:rsidR="00342373" w:rsidRPr="00672505">
        <w:t xml:space="preserve">for Cash </w:t>
      </w:r>
      <w:r w:rsidR="0063717C">
        <w:rPr>
          <w:rFonts w:cs="Calibri"/>
          <w:color w:val="000000"/>
          <w:lang w:val="en-US"/>
        </w:rPr>
        <w:t xml:space="preserve">&amp; Derivatives </w:t>
      </w:r>
      <w:r w:rsidR="00342373" w:rsidRPr="00672505">
        <w:t xml:space="preserve">markets, </w:t>
      </w:r>
      <w:r w:rsidRPr="00672505">
        <w:t xml:space="preserve">no market data will be available in the </w:t>
      </w:r>
      <w:r w:rsidR="002A043F">
        <w:t xml:space="preserve">MDG </w:t>
      </w:r>
      <w:r w:rsidRPr="00672505">
        <w:t xml:space="preserve">feed (even heartbeat </w:t>
      </w:r>
      <w:r w:rsidRPr="00672505">
        <w:rPr>
          <w:rFonts w:asciiTheme="minorHAnsi" w:hAnsiTheme="minorHAnsi" w:cstheme="minorHAnsi"/>
        </w:rPr>
        <w:t>messages) until the complete start-up of DC2.</w:t>
      </w:r>
    </w:p>
    <w:p w14:paraId="110F390C" w14:textId="77777777" w:rsidR="00703425" w:rsidRPr="00672505" w:rsidRDefault="004427EC" w:rsidP="004427EC">
      <w:pPr>
        <w:pStyle w:val="Bullet1"/>
      </w:pPr>
      <w:r w:rsidRPr="00672505">
        <w:t xml:space="preserve">During the test, </w:t>
      </w:r>
      <w:r w:rsidR="00552159" w:rsidRPr="00672505">
        <w:t>Euronext</w:t>
      </w:r>
      <w:r w:rsidRPr="00672505">
        <w:t xml:space="preserve"> will restart the markets on DC2</w:t>
      </w:r>
      <w:r w:rsidR="00703425" w:rsidRPr="00672505">
        <w:t>:</w:t>
      </w:r>
    </w:p>
    <w:p w14:paraId="100C3DC1" w14:textId="1194BA68" w:rsidR="004427EC" w:rsidRPr="00672505" w:rsidRDefault="00703425" w:rsidP="003C6C84">
      <w:pPr>
        <w:pStyle w:val="Bullet2"/>
      </w:pPr>
      <w:r w:rsidRPr="00672505">
        <w:t xml:space="preserve">For </w:t>
      </w:r>
      <w:r w:rsidR="00C506B2">
        <w:t>C</w:t>
      </w:r>
      <w:r w:rsidR="00C506B2" w:rsidRPr="00672505">
        <w:t xml:space="preserve">ash </w:t>
      </w:r>
      <w:r w:rsidR="0063717C">
        <w:rPr>
          <w:rFonts w:cs="Calibri"/>
          <w:color w:val="000000"/>
          <w:lang w:val="en-US"/>
        </w:rPr>
        <w:t xml:space="preserve">&amp; Derivatives </w:t>
      </w:r>
      <w:r w:rsidRPr="00672505">
        <w:t>markets:</w:t>
      </w:r>
      <w:r w:rsidR="004427EC" w:rsidRPr="00672505">
        <w:t xml:space="preserve"> with a full order book, i.e. as it was at the time of the disaster event on DC1</w:t>
      </w:r>
      <w:r w:rsidR="00D03DB9">
        <w:t>.</w:t>
      </w:r>
    </w:p>
    <w:p w14:paraId="59C56386" w14:textId="77777777" w:rsidR="004427EC" w:rsidRPr="00672505" w:rsidRDefault="007A70B6" w:rsidP="004427EC">
      <w:pPr>
        <w:pStyle w:val="Bullet1"/>
      </w:pPr>
      <w:r w:rsidRPr="00672505">
        <w:t>A</w:t>
      </w:r>
      <w:r w:rsidR="004427EC" w:rsidRPr="00672505">
        <w:t xml:space="preserve">s the order books on DC2 will then become the Market of Reference, customers will need to manage </w:t>
      </w:r>
      <w:r w:rsidR="004427EC" w:rsidRPr="00672505">
        <w:rPr>
          <w:rFonts w:asciiTheme="minorHAnsi" w:hAnsiTheme="minorHAnsi" w:cstheme="minorHAnsi"/>
        </w:rPr>
        <w:t>the synchronization of the local data with the data sent by DC2 trading engines.</w:t>
      </w:r>
    </w:p>
    <w:p w14:paraId="0487EED0" w14:textId="77777777" w:rsidR="001A1762" w:rsidRPr="00D03DB9" w:rsidRDefault="002E4BF9" w:rsidP="004427EC">
      <w:pPr>
        <w:pStyle w:val="Bullet1"/>
      </w:pPr>
      <w:r w:rsidRPr="00D03DB9">
        <w:t xml:space="preserve">Referential </w:t>
      </w:r>
      <w:r w:rsidR="001A1762" w:rsidRPr="00D03DB9">
        <w:t>market data:</w:t>
      </w:r>
    </w:p>
    <w:p w14:paraId="6DE160F3" w14:textId="4AB994B7" w:rsidR="001A1762" w:rsidRPr="00D03DB9" w:rsidRDefault="00C506B2" w:rsidP="00672505">
      <w:pPr>
        <w:pStyle w:val="Bullet1"/>
        <w:numPr>
          <w:ilvl w:val="0"/>
          <w:numId w:val="0"/>
        </w:numPr>
        <w:ind w:left="340"/>
        <w:rPr>
          <w:rFonts w:asciiTheme="minorHAnsi" w:hAnsiTheme="minorHAnsi" w:cstheme="minorHAnsi"/>
        </w:rPr>
      </w:pPr>
      <w:r w:rsidRPr="00D03DB9">
        <w:t xml:space="preserve">The </w:t>
      </w:r>
      <w:r w:rsidR="001A1762" w:rsidRPr="00D03DB9">
        <w:t>referential market data will only be sent one time from DC1 a</w:t>
      </w:r>
      <w:r w:rsidR="00D03DB9" w:rsidRPr="00D03DB9">
        <w:t xml:space="preserve">round </w:t>
      </w:r>
      <w:r w:rsidR="00402778" w:rsidRPr="00D03DB9">
        <w:t>11</w:t>
      </w:r>
      <w:r w:rsidR="001A1762" w:rsidRPr="00D03DB9">
        <w:t>:</w:t>
      </w:r>
      <w:r w:rsidR="00402778" w:rsidRPr="00D03DB9">
        <w:t xml:space="preserve">00 </w:t>
      </w:r>
      <w:r w:rsidR="001A1762" w:rsidRPr="00D03DB9">
        <w:t xml:space="preserve">CET. No new referential </w:t>
      </w:r>
      <w:r w:rsidR="001A1762" w:rsidRPr="00D03DB9">
        <w:rPr>
          <w:rFonts w:asciiTheme="minorHAnsi" w:hAnsiTheme="minorHAnsi" w:cstheme="minorHAnsi"/>
        </w:rPr>
        <w:t>market data will be sent to the customer from DC2.</w:t>
      </w:r>
      <w:r w:rsidR="00D03DB9" w:rsidRPr="00D03DB9">
        <w:rPr>
          <w:rFonts w:asciiTheme="minorHAnsi" w:hAnsiTheme="minorHAnsi" w:cstheme="minorHAnsi"/>
        </w:rPr>
        <w:t xml:space="preserve"> However Standing Data File are available on EFS.</w:t>
      </w:r>
    </w:p>
    <w:p w14:paraId="4C8B1449" w14:textId="77777777" w:rsidR="00D03DB9" w:rsidRDefault="00D03DB9" w:rsidP="004427EC">
      <w:pPr>
        <w:pStyle w:val="Titre1"/>
        <w:rPr>
          <w:rFonts w:asciiTheme="minorHAnsi" w:hAnsiTheme="minorHAnsi" w:cstheme="minorHAnsi"/>
          <w:szCs w:val="22"/>
        </w:rPr>
      </w:pPr>
    </w:p>
    <w:p w14:paraId="0E960C44" w14:textId="77777777" w:rsidR="00D03DB9" w:rsidRDefault="00D03DB9" w:rsidP="004427EC">
      <w:pPr>
        <w:pStyle w:val="Titre1"/>
        <w:rPr>
          <w:rFonts w:asciiTheme="minorHAnsi" w:hAnsiTheme="minorHAnsi" w:cstheme="minorHAnsi"/>
          <w:szCs w:val="22"/>
        </w:rPr>
      </w:pPr>
    </w:p>
    <w:p w14:paraId="2D6134B7" w14:textId="77777777" w:rsidR="00D03DB9" w:rsidRDefault="00D03DB9" w:rsidP="004427EC">
      <w:pPr>
        <w:pStyle w:val="Titre1"/>
        <w:rPr>
          <w:rFonts w:asciiTheme="minorHAnsi" w:hAnsiTheme="minorHAnsi" w:cstheme="minorHAnsi"/>
          <w:szCs w:val="22"/>
        </w:rPr>
      </w:pPr>
    </w:p>
    <w:p w14:paraId="23CE9DB9" w14:textId="77777777" w:rsidR="00D03DB9" w:rsidRDefault="00D03DB9" w:rsidP="004427EC">
      <w:pPr>
        <w:pStyle w:val="Titre1"/>
        <w:rPr>
          <w:rFonts w:asciiTheme="minorHAnsi" w:hAnsiTheme="minorHAnsi" w:cstheme="minorHAnsi"/>
          <w:szCs w:val="22"/>
        </w:rPr>
      </w:pPr>
    </w:p>
    <w:p w14:paraId="19BA786B" w14:textId="224BE1E8" w:rsidR="004427EC" w:rsidRPr="00672505" w:rsidRDefault="00920D10" w:rsidP="004427EC">
      <w:pPr>
        <w:pStyle w:val="Titre1"/>
        <w:rPr>
          <w:rFonts w:asciiTheme="minorHAnsi" w:hAnsiTheme="minorHAnsi" w:cstheme="minorHAnsi"/>
          <w:szCs w:val="22"/>
        </w:rPr>
      </w:pPr>
      <w:r w:rsidRPr="00D03DB9">
        <w:rPr>
          <w:rFonts w:asciiTheme="minorHAnsi" w:hAnsiTheme="minorHAnsi" w:cstheme="minorHAnsi"/>
          <w:szCs w:val="22"/>
        </w:rPr>
        <w:t>REQ</w:t>
      </w:r>
      <w:r>
        <w:rPr>
          <w:rFonts w:asciiTheme="minorHAnsi" w:hAnsiTheme="minorHAnsi" w:cstheme="minorHAnsi"/>
          <w:szCs w:val="22"/>
        </w:rPr>
        <w:t>UIRED DOCUMENTATION FOR DISASTER RECOVERY ACCESS</w:t>
      </w:r>
    </w:p>
    <w:tbl>
      <w:tblPr>
        <w:tblW w:w="0" w:type="auto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1E0" w:firstRow="1" w:lastRow="1" w:firstColumn="1" w:lastColumn="1" w:noHBand="0" w:noVBand="0"/>
      </w:tblPr>
      <w:tblGrid>
        <w:gridCol w:w="3088"/>
        <w:gridCol w:w="3479"/>
        <w:gridCol w:w="3040"/>
      </w:tblGrid>
      <w:tr w:rsidR="00AC7B4F" w:rsidRPr="00032AC4" w14:paraId="4F936627" w14:textId="77777777" w:rsidTr="0063717C">
        <w:trPr>
          <w:tblHeader/>
        </w:trPr>
        <w:tc>
          <w:tcPr>
            <w:tcW w:w="3088" w:type="dxa"/>
            <w:tcBorders>
              <w:bottom w:val="single" w:sz="12" w:space="0" w:color="FFFFFF"/>
            </w:tcBorders>
            <w:shd w:val="clear" w:color="auto" w:fill="80B3AE"/>
          </w:tcPr>
          <w:p w14:paraId="5CA9E44E" w14:textId="70B52DFC" w:rsidR="00AC7B4F" w:rsidRDefault="00AC7B4F" w:rsidP="008E7241">
            <w:pPr>
              <w:spacing w:after="0"/>
              <w:jc w:val="left"/>
              <w:rPr>
                <w:rFonts w:cs="Times New Roman"/>
                <w:b/>
                <w:caps/>
                <w:color w:val="FFFFFF"/>
                <w:lang w:val="en-US"/>
              </w:rPr>
            </w:pPr>
            <w:r>
              <w:rPr>
                <w:rFonts w:cs="Times New Roman"/>
                <w:b/>
                <w:caps/>
                <w:color w:val="FFFFFF"/>
                <w:lang w:val="en-US"/>
              </w:rPr>
              <w:t>EURONEXT SERVICE</w:t>
            </w:r>
          </w:p>
        </w:tc>
        <w:tc>
          <w:tcPr>
            <w:tcW w:w="3479" w:type="dxa"/>
            <w:tcBorders>
              <w:bottom w:val="single" w:sz="12" w:space="0" w:color="FFFFFF"/>
            </w:tcBorders>
            <w:shd w:val="clear" w:color="auto" w:fill="80B3AE"/>
          </w:tcPr>
          <w:p w14:paraId="7D714110" w14:textId="089F270D" w:rsidR="00AC7B4F" w:rsidRPr="00032AC4" w:rsidRDefault="00AC7B4F" w:rsidP="008E7241">
            <w:pPr>
              <w:spacing w:after="0"/>
              <w:jc w:val="left"/>
              <w:rPr>
                <w:rFonts w:cs="Times New Roman"/>
                <w:b/>
                <w:caps/>
                <w:color w:val="FFFFFF"/>
                <w:lang w:val="en-US"/>
              </w:rPr>
            </w:pPr>
            <w:r>
              <w:rPr>
                <w:rFonts w:cs="Times New Roman"/>
                <w:b/>
                <w:caps/>
                <w:color w:val="FFFFFF"/>
                <w:lang w:val="en-US"/>
              </w:rPr>
              <w:t>Title</w:t>
            </w:r>
          </w:p>
        </w:tc>
        <w:tc>
          <w:tcPr>
            <w:tcW w:w="3040" w:type="dxa"/>
            <w:tcBorders>
              <w:bottom w:val="single" w:sz="12" w:space="0" w:color="FFFFFF"/>
            </w:tcBorders>
            <w:shd w:val="clear" w:color="auto" w:fill="80B3AE"/>
          </w:tcPr>
          <w:p w14:paraId="7CD9EE2E" w14:textId="77777777" w:rsidR="00AC7B4F" w:rsidRPr="00032AC4" w:rsidRDefault="00AC7B4F" w:rsidP="008E7241">
            <w:pPr>
              <w:spacing w:after="0"/>
              <w:jc w:val="left"/>
              <w:rPr>
                <w:rFonts w:cs="Times New Roman"/>
                <w:b/>
                <w:caps/>
                <w:color w:val="FFFFFF"/>
                <w:lang w:val="en-US"/>
              </w:rPr>
            </w:pPr>
            <w:r>
              <w:rPr>
                <w:rFonts w:cs="Times New Roman"/>
                <w:b/>
                <w:caps/>
                <w:color w:val="FFFFFF"/>
                <w:lang w:val="en-US"/>
              </w:rPr>
              <w:t>Description</w:t>
            </w:r>
          </w:p>
        </w:tc>
      </w:tr>
      <w:tr w:rsidR="00AC7B4F" w:rsidRPr="00E3744D" w14:paraId="4535E32C" w14:textId="77777777" w:rsidTr="0063717C">
        <w:trPr>
          <w:trHeight w:val="125"/>
        </w:trPr>
        <w:tc>
          <w:tcPr>
            <w:tcW w:w="3088" w:type="dxa"/>
            <w:shd w:val="clear" w:color="auto" w:fill="D9D9D9" w:themeFill="background1" w:themeFillShade="D9"/>
          </w:tcPr>
          <w:p w14:paraId="3C3A256E" w14:textId="3CBC6BA8" w:rsidR="00AC7B4F" w:rsidRPr="00E65596" w:rsidRDefault="00AC7B4F" w:rsidP="008E724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Euronext File Service</w:t>
            </w:r>
          </w:p>
        </w:tc>
        <w:tc>
          <w:tcPr>
            <w:tcW w:w="3479" w:type="dxa"/>
            <w:shd w:val="clear" w:color="auto" w:fill="D9D9D9" w:themeFill="background1" w:themeFillShade="D9"/>
          </w:tcPr>
          <w:p w14:paraId="09002F4B" w14:textId="2F932707" w:rsidR="00AC7B4F" w:rsidRPr="00E65596" w:rsidRDefault="003C1856" w:rsidP="008E724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hyperlink r:id="rId12" w:history="1">
              <w:r w:rsidR="00AC7B4F" w:rsidRPr="00920D10">
                <w:rPr>
                  <w:rStyle w:val="Lienhypertexte"/>
                  <w:rFonts w:eastAsia="Times New Roman" w:cs="Calibri"/>
                  <w:sz w:val="18"/>
                  <w:szCs w:val="18"/>
                  <w:lang w:eastAsia="en-GB"/>
                </w:rPr>
                <w:t>Optiq Euronext File Services User Guide</w:t>
              </w:r>
            </w:hyperlink>
            <w:r w:rsidR="00AC7B4F" w:rsidRPr="00E65596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3040" w:type="dxa"/>
            <w:shd w:val="clear" w:color="auto" w:fill="D9D9D9" w:themeFill="background1" w:themeFillShade="D9"/>
          </w:tcPr>
          <w:p w14:paraId="672302F8" w14:textId="77777777" w:rsidR="00AC7B4F" w:rsidRPr="00E3744D" w:rsidRDefault="00AC7B4F" w:rsidP="008E7241">
            <w:pPr>
              <w:jc w:val="left"/>
              <w:rPr>
                <w:lang w:val="fr-FR"/>
              </w:rPr>
            </w:pPr>
            <w:r>
              <w:rPr>
                <w:sz w:val="18"/>
                <w:szCs w:val="18"/>
              </w:rPr>
              <w:t xml:space="preserve">EFS user guide </w:t>
            </w:r>
          </w:p>
        </w:tc>
      </w:tr>
      <w:tr w:rsidR="00AC7B4F" w:rsidRPr="00E3744D" w14:paraId="42771D13" w14:textId="77777777" w:rsidTr="0063717C">
        <w:trPr>
          <w:trHeight w:val="318"/>
        </w:trPr>
        <w:tc>
          <w:tcPr>
            <w:tcW w:w="3088" w:type="dxa"/>
            <w:shd w:val="clear" w:color="auto" w:fill="D9D9D9" w:themeFill="background1" w:themeFillShade="D9"/>
          </w:tcPr>
          <w:p w14:paraId="1310F7D6" w14:textId="097B26B9" w:rsidR="00AC7B4F" w:rsidRPr="0000166C" w:rsidRDefault="0063717C" w:rsidP="00920D1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Euronext </w:t>
            </w:r>
            <w:r w:rsidR="00AC7B4F">
              <w:rPr>
                <w:sz w:val="18"/>
                <w:szCs w:val="18"/>
              </w:rPr>
              <w:t xml:space="preserve">Market Data </w:t>
            </w:r>
            <w:r w:rsidR="00920D10">
              <w:rPr>
                <w:sz w:val="18"/>
                <w:szCs w:val="18"/>
              </w:rPr>
              <w:t>gateway feed configuration</w:t>
            </w:r>
          </w:p>
        </w:tc>
        <w:tc>
          <w:tcPr>
            <w:tcW w:w="3479" w:type="dxa"/>
            <w:shd w:val="clear" w:color="auto" w:fill="D9D9D9" w:themeFill="background1" w:themeFillShade="D9"/>
          </w:tcPr>
          <w:p w14:paraId="7C8FDAEA" w14:textId="688FD649" w:rsidR="00AC7B4F" w:rsidRPr="0000166C" w:rsidRDefault="003C1856" w:rsidP="008E7241">
            <w:pPr>
              <w:pStyle w:val="Default"/>
              <w:rPr>
                <w:sz w:val="18"/>
                <w:szCs w:val="18"/>
              </w:rPr>
            </w:pPr>
            <w:hyperlink r:id="rId13" w:tooltip="Euronext Optiq Market Data Gateway Production Environment v2.3.pdf" w:history="1">
              <w:r w:rsidR="0063717C" w:rsidRPr="0063717C">
                <w:rPr>
                  <w:rStyle w:val="Lienhypertexte"/>
                  <w:rFonts w:ascii="Calibri" w:eastAsia="Times New Roman" w:hAnsi="Calibri" w:cs="Calibri"/>
                  <w:sz w:val="18"/>
                  <w:szCs w:val="18"/>
                  <w:lang w:eastAsia="en-GB"/>
                </w:rPr>
                <w:t xml:space="preserve">EURONEXT OPTIQ MARKET DATA GATEWAY PRODUCTION ENVIRONMENT </w:t>
              </w:r>
            </w:hyperlink>
          </w:p>
        </w:tc>
        <w:tc>
          <w:tcPr>
            <w:tcW w:w="3040" w:type="dxa"/>
            <w:shd w:val="clear" w:color="auto" w:fill="D9D9D9" w:themeFill="background1" w:themeFillShade="D9"/>
          </w:tcPr>
          <w:p w14:paraId="35CE3294" w14:textId="3217A9E6" w:rsidR="00AC7B4F" w:rsidRDefault="00470E07" w:rsidP="00470E0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Market data parameters: No change,  excepted “Colocation member”. same flows used than for Prod</w:t>
            </w:r>
          </w:p>
        </w:tc>
      </w:tr>
      <w:tr w:rsidR="00920D10" w:rsidRPr="00E3744D" w14:paraId="1BA91846" w14:textId="77777777" w:rsidTr="0063717C">
        <w:trPr>
          <w:trHeight w:val="318"/>
        </w:trPr>
        <w:tc>
          <w:tcPr>
            <w:tcW w:w="3088" w:type="dxa"/>
            <w:shd w:val="clear" w:color="auto" w:fill="D9D9D9" w:themeFill="background1" w:themeFillShade="D9"/>
          </w:tcPr>
          <w:p w14:paraId="65334A5F" w14:textId="0EA1EBC4" w:rsidR="00920D10" w:rsidRPr="00E65596" w:rsidRDefault="00920D10" w:rsidP="008E7241">
            <w:pPr>
              <w:autoSpaceDE w:val="0"/>
              <w:autoSpaceDN w:val="0"/>
              <w:adjustRightInd w:val="0"/>
              <w:spacing w:after="59" w:line="240" w:lineRule="auto"/>
              <w:jc w:val="lef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Order Entry Gateway  connectivity</w:t>
            </w:r>
          </w:p>
        </w:tc>
        <w:tc>
          <w:tcPr>
            <w:tcW w:w="3479" w:type="dxa"/>
            <w:shd w:val="clear" w:color="auto" w:fill="D9D9D9" w:themeFill="background1" w:themeFillShade="D9"/>
          </w:tcPr>
          <w:p w14:paraId="7BB918CB" w14:textId="0BFA1AB5" w:rsidR="00920D10" w:rsidRPr="00E65596" w:rsidRDefault="003C1856" w:rsidP="008E7241">
            <w:pPr>
              <w:autoSpaceDE w:val="0"/>
              <w:autoSpaceDN w:val="0"/>
              <w:adjustRightInd w:val="0"/>
              <w:spacing w:after="59" w:line="240" w:lineRule="auto"/>
              <w:jc w:val="lef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hyperlink r:id="rId14" w:tooltip="Euronext Markets – OPTIQ® OEG Connectivity Specifications-2.2.pdf" w:history="1">
              <w:r w:rsidR="00663BD0" w:rsidRPr="00663BD0">
                <w:rPr>
                  <w:rStyle w:val="Lienhypertexte"/>
                  <w:rFonts w:eastAsia="Times New Roman" w:cs="Calibri"/>
                  <w:sz w:val="18"/>
                  <w:szCs w:val="18"/>
                  <w:lang w:eastAsia="en-GB"/>
                </w:rPr>
                <w:t xml:space="preserve">EURONEXT MARKETS – OPTIQ® OEG CONNECTIVITY SPECIFICATIONS </w:t>
              </w:r>
            </w:hyperlink>
          </w:p>
        </w:tc>
        <w:tc>
          <w:tcPr>
            <w:tcW w:w="3040" w:type="dxa"/>
            <w:shd w:val="clear" w:color="auto" w:fill="D9D9D9" w:themeFill="background1" w:themeFillShade="D9"/>
          </w:tcPr>
          <w:p w14:paraId="06F90E5F" w14:textId="5E795E96" w:rsidR="00920D10" w:rsidRPr="00EE1979" w:rsidRDefault="00920D10" w:rsidP="008E7241">
            <w:pPr>
              <w:jc w:val="left"/>
            </w:pPr>
            <w:r>
              <w:rPr>
                <w:sz w:val="18"/>
                <w:szCs w:val="18"/>
              </w:rPr>
              <w:t xml:space="preserve">Description of the connectivity configuration </w:t>
            </w:r>
            <w:r w:rsidR="00470E07">
              <w:rPr>
                <w:sz w:val="18"/>
                <w:szCs w:val="18"/>
              </w:rPr>
              <w:t>for Prod and DR</w:t>
            </w:r>
          </w:p>
        </w:tc>
      </w:tr>
    </w:tbl>
    <w:p w14:paraId="0C8CADAD" w14:textId="77777777" w:rsidR="00E07401" w:rsidRPr="00D03DB9" w:rsidRDefault="00E07401" w:rsidP="00BF5353">
      <w:pPr>
        <w:pStyle w:val="Sansinterligne"/>
        <w:rPr>
          <w:b/>
        </w:rPr>
      </w:pPr>
    </w:p>
    <w:p w14:paraId="2B11AC04" w14:textId="77777777" w:rsidR="008725F6" w:rsidRPr="00672505" w:rsidRDefault="008725F6" w:rsidP="00BF5353">
      <w:pPr>
        <w:pStyle w:val="Sansinterligne"/>
        <w:rPr>
          <w:lang w:val="en-US"/>
        </w:rPr>
      </w:pPr>
    </w:p>
    <w:p w14:paraId="1DE34DB0" w14:textId="77777777" w:rsidR="008725F6" w:rsidRPr="00301A77" w:rsidRDefault="008725F6" w:rsidP="00BF5353">
      <w:pPr>
        <w:pStyle w:val="Sansinterligne"/>
        <w:rPr>
          <w:i/>
          <w:lang w:val="en-US"/>
        </w:rPr>
      </w:pPr>
    </w:p>
    <w:p w14:paraId="342829B6" w14:textId="77777777" w:rsidR="004427EC" w:rsidRPr="008F5B2E" w:rsidRDefault="004427EC" w:rsidP="004427EC">
      <w:pPr>
        <w:pStyle w:val="Titre1"/>
        <w:rPr>
          <w:rFonts w:asciiTheme="minorHAnsi" w:hAnsiTheme="minorHAnsi" w:cstheme="minorHAnsi"/>
          <w:szCs w:val="22"/>
        </w:rPr>
      </w:pPr>
      <w:r w:rsidRPr="008F5B2E">
        <w:rPr>
          <w:rFonts w:asciiTheme="minorHAnsi" w:hAnsiTheme="minorHAnsi" w:cstheme="minorHAnsi"/>
          <w:szCs w:val="22"/>
        </w:rPr>
        <w:t>roll-back for customers’ internal systems</w:t>
      </w:r>
    </w:p>
    <w:tbl>
      <w:tblPr>
        <w:tblStyle w:val="Grilledutableau"/>
        <w:tblW w:w="0" w:type="auto"/>
        <w:tblBorders>
          <w:top w:val="single" w:sz="4" w:space="0" w:color="008D7F" w:themeColor="text1"/>
          <w:left w:val="single" w:sz="4" w:space="0" w:color="008D7F" w:themeColor="text1"/>
          <w:bottom w:val="single" w:sz="4" w:space="0" w:color="008D7F" w:themeColor="text1"/>
          <w:right w:val="single" w:sz="4" w:space="0" w:color="008D7F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FF4C1F" w14:paraId="23EE0884" w14:textId="77777777" w:rsidTr="00423BB1">
        <w:tc>
          <w:tcPr>
            <w:tcW w:w="9777" w:type="dxa"/>
          </w:tcPr>
          <w:p w14:paraId="03D4FD9E" w14:textId="1938A91D" w:rsidR="00FF4C1F" w:rsidRPr="00301A77" w:rsidRDefault="00FF4C1F" w:rsidP="00657F33">
            <w:pPr>
              <w:shd w:val="clear" w:color="auto" w:fill="FFFFFF" w:themeFill="background1"/>
            </w:pPr>
            <w:r w:rsidRPr="00301A77">
              <w:t>Upon completion of the DR test, members must restore/rollback their internal Production systems to the</w:t>
            </w:r>
            <w:r w:rsidR="00643DE0">
              <w:t xml:space="preserve"> </w:t>
            </w:r>
            <w:r w:rsidRPr="00301A77">
              <w:t>state as of Friday</w:t>
            </w:r>
            <w:r w:rsidR="002A043F">
              <w:t xml:space="preserve"> </w:t>
            </w:r>
            <w:r w:rsidR="004A6A42">
              <w:t>23 October</w:t>
            </w:r>
            <w:r w:rsidR="00160316">
              <w:t xml:space="preserve"> 2020</w:t>
            </w:r>
            <w:r w:rsidRPr="00301A77">
              <w:t xml:space="preserve"> evening (after corporate events).</w:t>
            </w:r>
            <w:r>
              <w:t xml:space="preserve"> </w:t>
            </w:r>
            <w:r w:rsidRPr="00301A77">
              <w:t>It is very important that members do NOT synchronize their order book with data from Saturday</w:t>
            </w:r>
            <w:r w:rsidR="002A043F">
              <w:t xml:space="preserve"> </w:t>
            </w:r>
            <w:r w:rsidR="004A6A42">
              <w:t>24</w:t>
            </w:r>
            <w:r w:rsidR="00160316">
              <w:t xml:space="preserve"> </w:t>
            </w:r>
            <w:r w:rsidR="004A6A42">
              <w:t>October</w:t>
            </w:r>
            <w:r w:rsidR="00160316">
              <w:t xml:space="preserve"> 2020</w:t>
            </w:r>
            <w:r w:rsidRPr="00301A77">
              <w:t>.</w:t>
            </w:r>
          </w:p>
          <w:p w14:paraId="1D12495A" w14:textId="2373B367" w:rsidR="00FF4C1F" w:rsidRPr="00301A77" w:rsidRDefault="00FF4C1F" w:rsidP="00657F33">
            <w:pPr>
              <w:shd w:val="clear" w:color="auto" w:fill="FFFFFF" w:themeFill="background1"/>
            </w:pPr>
            <w:r w:rsidRPr="00301A77">
              <w:t>The Saturday</w:t>
            </w:r>
            <w:r w:rsidR="002A043F">
              <w:t xml:space="preserve"> </w:t>
            </w:r>
            <w:r w:rsidR="004A6A42">
              <w:t>24</w:t>
            </w:r>
            <w:r w:rsidR="00160316">
              <w:t xml:space="preserve"> </w:t>
            </w:r>
            <w:r w:rsidR="004A6A42">
              <w:t>October</w:t>
            </w:r>
            <w:r w:rsidR="00160316">
              <w:t xml:space="preserve"> 2020</w:t>
            </w:r>
            <w:r>
              <w:t xml:space="preserve"> </w:t>
            </w:r>
            <w:r w:rsidRPr="00301A77">
              <w:t>session will not be taken into account in the Live/Production environment which will</w:t>
            </w:r>
            <w:r>
              <w:t xml:space="preserve"> </w:t>
            </w:r>
            <w:r w:rsidRPr="00301A77">
              <w:t xml:space="preserve">start on </w:t>
            </w:r>
            <w:r w:rsidRPr="00E837FA">
              <w:t xml:space="preserve">Monday </w:t>
            </w:r>
            <w:r w:rsidR="004A6A42">
              <w:t>26</w:t>
            </w:r>
            <w:r w:rsidR="00160316">
              <w:t xml:space="preserve"> </w:t>
            </w:r>
            <w:r w:rsidR="004A6A42">
              <w:t>October</w:t>
            </w:r>
            <w:r w:rsidR="00160316">
              <w:t xml:space="preserve"> 2020</w:t>
            </w:r>
            <w:r w:rsidR="00D03DB9">
              <w:t xml:space="preserve"> </w:t>
            </w:r>
            <w:r w:rsidRPr="00301A77">
              <w:t>as usual.</w:t>
            </w:r>
            <w:r>
              <w:t xml:space="preserve"> </w:t>
            </w:r>
            <w:r w:rsidRPr="00301A77">
              <w:t>Customers are requested to ensure their readiness for the next trading day’s activities following any</w:t>
            </w:r>
            <w:r>
              <w:t xml:space="preserve"> </w:t>
            </w:r>
            <w:r w:rsidRPr="00301A77">
              <w:t>Saturday disaster recovery test.</w:t>
            </w:r>
          </w:p>
          <w:p w14:paraId="6194C8F3" w14:textId="77777777" w:rsidR="00FF4C1F" w:rsidRDefault="00FF4C1F" w:rsidP="00657F33">
            <w:pPr>
              <w:shd w:val="clear" w:color="auto" w:fill="FFFFFF" w:themeFill="background1"/>
              <w:rPr>
                <w:b/>
              </w:rPr>
            </w:pPr>
            <w:r w:rsidRPr="002932ED">
              <w:rPr>
                <w:b/>
              </w:rPr>
              <w:t>Members are responsible for purging all market data and order entry data sent and received during the</w:t>
            </w:r>
            <w:r w:rsidR="00657F33">
              <w:rPr>
                <w:b/>
              </w:rPr>
              <w:t xml:space="preserve"> </w:t>
            </w:r>
            <w:r w:rsidRPr="002932ED">
              <w:rPr>
                <w:b/>
              </w:rPr>
              <w:t>Saturday disaster recovery test.</w:t>
            </w:r>
          </w:p>
        </w:tc>
      </w:tr>
    </w:tbl>
    <w:p w14:paraId="7DC97B8D" w14:textId="77777777" w:rsidR="00FF4C1F" w:rsidRPr="00FF4C1F" w:rsidRDefault="00FF4C1F" w:rsidP="00423BB1">
      <w:pPr>
        <w:rPr>
          <w:rFonts w:asciiTheme="minorHAnsi" w:hAnsiTheme="minorHAnsi" w:cstheme="minorHAnsi"/>
        </w:rPr>
      </w:pPr>
    </w:p>
    <w:p w14:paraId="3595DAFE" w14:textId="77777777" w:rsidR="004427EC" w:rsidRPr="008F5B2E" w:rsidRDefault="004427EC" w:rsidP="004427EC">
      <w:pPr>
        <w:pStyle w:val="Titre1"/>
        <w:rPr>
          <w:rFonts w:asciiTheme="minorHAnsi" w:hAnsiTheme="minorHAnsi" w:cstheme="minorHAnsi"/>
          <w:szCs w:val="22"/>
        </w:rPr>
      </w:pPr>
      <w:r w:rsidRPr="008F5B2E">
        <w:rPr>
          <w:rFonts w:asciiTheme="minorHAnsi" w:hAnsiTheme="minorHAnsi" w:cstheme="minorHAnsi"/>
          <w:szCs w:val="22"/>
        </w:rPr>
        <w:t>conclusion</w:t>
      </w:r>
    </w:p>
    <w:p w14:paraId="50FF0509" w14:textId="77777777" w:rsidR="004427EC" w:rsidRPr="008F5B2E" w:rsidRDefault="00552159" w:rsidP="004427E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Euronext</w:t>
      </w:r>
      <w:r w:rsidR="004427EC" w:rsidRPr="008F5B2E">
        <w:rPr>
          <w:rFonts w:asciiTheme="minorHAnsi" w:hAnsiTheme="minorHAnsi" w:cstheme="minorHAnsi"/>
        </w:rPr>
        <w:t xml:space="preserve"> would like to make this test as realistic as possible in order to draw the most relevant and useful conclusions, and therefore encourages customers to participate actively. </w:t>
      </w:r>
    </w:p>
    <w:p w14:paraId="6270FE0A" w14:textId="77777777" w:rsidR="004427EC" w:rsidRPr="008F5B2E" w:rsidRDefault="00552159" w:rsidP="004427E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Euronext</w:t>
      </w:r>
      <w:r w:rsidR="004427EC" w:rsidRPr="008F5B2E">
        <w:rPr>
          <w:rFonts w:asciiTheme="minorHAnsi" w:hAnsiTheme="minorHAnsi" w:cstheme="minorHAnsi"/>
        </w:rPr>
        <w:t xml:space="preserve"> will communicate the test results and conclusions at the beginning of the following week.</w:t>
      </w:r>
    </w:p>
    <w:p w14:paraId="23CEA252" w14:textId="77777777" w:rsidR="004427EC" w:rsidRPr="008F5B2E" w:rsidRDefault="004427EC" w:rsidP="004427EC">
      <w:pPr>
        <w:pStyle w:val="Titre1"/>
        <w:rPr>
          <w:rFonts w:asciiTheme="minorHAnsi" w:hAnsiTheme="minorHAnsi" w:cstheme="minorHAnsi"/>
          <w:szCs w:val="22"/>
        </w:rPr>
      </w:pPr>
      <w:r w:rsidRPr="008F5B2E">
        <w:rPr>
          <w:rFonts w:asciiTheme="minorHAnsi" w:hAnsiTheme="minorHAnsi" w:cstheme="minorHAnsi"/>
          <w:szCs w:val="22"/>
        </w:rPr>
        <w:t>contacts</w:t>
      </w:r>
    </w:p>
    <w:p w14:paraId="14302C52" w14:textId="0CCD276F" w:rsidR="00B86797" w:rsidRDefault="00D94EE5" w:rsidP="00B86797">
      <w:pPr>
        <w:ind w:right="792"/>
        <w:rPr>
          <w:rFonts w:cs="Calibri"/>
          <w:lang w:val="en-US"/>
        </w:rPr>
      </w:pPr>
      <w:r>
        <w:rPr>
          <w:rFonts w:asciiTheme="minorHAnsi" w:hAnsiTheme="minorHAnsi" w:cstheme="minorHAnsi"/>
        </w:rPr>
        <w:t xml:space="preserve">- </w:t>
      </w:r>
      <w:r w:rsidR="00956B6E" w:rsidRPr="00DF12CF">
        <w:rPr>
          <w:rFonts w:asciiTheme="minorHAnsi" w:hAnsiTheme="minorHAnsi" w:cstheme="minorHAnsi"/>
        </w:rPr>
        <w:t>For a</w:t>
      </w:r>
      <w:r w:rsidR="00E271BE" w:rsidRPr="00DF12CF">
        <w:rPr>
          <w:rFonts w:asciiTheme="minorHAnsi" w:hAnsiTheme="minorHAnsi" w:cstheme="minorHAnsi"/>
        </w:rPr>
        <w:t>ny question related to the test</w:t>
      </w:r>
      <w:r w:rsidR="00FA7FB6" w:rsidRPr="00DF12CF">
        <w:rPr>
          <w:rFonts w:asciiTheme="minorHAnsi" w:hAnsiTheme="minorHAnsi" w:cstheme="minorHAnsi"/>
        </w:rPr>
        <w:t>, please</w:t>
      </w:r>
      <w:r w:rsidR="00FA7FB6">
        <w:rPr>
          <w:rFonts w:asciiTheme="minorHAnsi" w:hAnsiTheme="minorHAnsi" w:cstheme="minorHAnsi"/>
        </w:rPr>
        <w:t xml:space="preserve"> contact</w:t>
      </w:r>
      <w:r w:rsidR="00FA7FB6" w:rsidRPr="00DF12CF">
        <w:rPr>
          <w:rFonts w:asciiTheme="minorHAnsi" w:hAnsiTheme="minorHAnsi" w:cstheme="minorHAnsi"/>
        </w:rPr>
        <w:t xml:space="preserve"> </w:t>
      </w:r>
      <w:r w:rsidR="00B86797" w:rsidRPr="00DF12CF">
        <w:rPr>
          <w:rFonts w:asciiTheme="minorHAnsi" w:hAnsiTheme="minorHAnsi" w:cstheme="minorHAnsi"/>
        </w:rPr>
        <w:t>Operational Clients Relationship Officer – Euronext Market Services</w:t>
      </w:r>
      <w:r w:rsidR="00DF12CF" w:rsidRPr="00DF12CF">
        <w:rPr>
          <w:rFonts w:asciiTheme="minorHAnsi" w:hAnsiTheme="minorHAnsi" w:cstheme="minorHAnsi"/>
        </w:rPr>
        <w:t xml:space="preserve"> on email:</w:t>
      </w:r>
      <w:r w:rsidR="00DF12CF">
        <w:rPr>
          <w:rFonts w:cs="Calibri"/>
          <w:color w:val="1F497D"/>
          <w:lang w:val="en-US" w:eastAsia="nl-NL"/>
        </w:rPr>
        <w:t xml:space="preserve"> </w:t>
      </w:r>
      <w:hyperlink r:id="rId15" w:history="1">
        <w:r w:rsidR="00DF12CF">
          <w:rPr>
            <w:rStyle w:val="Lienhypertexte"/>
            <w:rFonts w:cs="Calibri"/>
            <w:lang w:val="en-US"/>
          </w:rPr>
          <w:t>clientsupport@euronext.com</w:t>
        </w:r>
      </w:hyperlink>
    </w:p>
    <w:p w14:paraId="6701A24B" w14:textId="77777777" w:rsidR="00DF12CF" w:rsidRPr="00406D39" w:rsidRDefault="00DF12CF" w:rsidP="00DF12CF">
      <w:pPr>
        <w:spacing w:after="0"/>
        <w:jc w:val="left"/>
        <w:rPr>
          <w:rStyle w:val="Lienhypertexte"/>
          <w:color w:val="auto"/>
        </w:rPr>
      </w:pPr>
      <w:r w:rsidRPr="00406D39">
        <w:rPr>
          <w:rStyle w:val="Lienhypertexte"/>
          <w:color w:val="auto"/>
        </w:rPr>
        <w:t xml:space="preserve">Tel. (calling from): France </w:t>
      </w:r>
      <w:r w:rsidRPr="00406D39">
        <w:rPr>
          <w:rFonts w:asciiTheme="minorHAnsi" w:eastAsia="SimSun" w:hAnsiTheme="minorHAnsi" w:cstheme="minorHAnsi"/>
          <w:lang w:eastAsia="zh-CN"/>
        </w:rPr>
        <w:t xml:space="preserve">+33 1 8514 8585; </w:t>
      </w:r>
      <w:r w:rsidRPr="00406D39">
        <w:rPr>
          <w:rStyle w:val="Lienhypertexte"/>
          <w:color w:val="auto"/>
        </w:rPr>
        <w:t xml:space="preserve">The Netherlands </w:t>
      </w:r>
      <w:r w:rsidRPr="00406D39">
        <w:rPr>
          <w:rFonts w:asciiTheme="minorHAnsi" w:eastAsia="SimSun" w:hAnsiTheme="minorHAnsi" w:cstheme="minorHAnsi"/>
          <w:lang w:eastAsia="zh-CN"/>
        </w:rPr>
        <w:t xml:space="preserve">+31 20 721 9585; </w:t>
      </w:r>
      <w:r w:rsidRPr="00406D39">
        <w:rPr>
          <w:rStyle w:val="Lienhypertexte"/>
          <w:color w:val="auto"/>
        </w:rPr>
        <w:t xml:space="preserve">UK </w:t>
      </w:r>
      <w:r w:rsidRPr="00406D39">
        <w:rPr>
          <w:rFonts w:asciiTheme="minorHAnsi" w:eastAsia="SimSun" w:hAnsiTheme="minorHAnsi" w:cstheme="minorHAnsi"/>
          <w:lang w:eastAsia="zh-CN"/>
        </w:rPr>
        <w:t>+44 20 7660 8585;</w:t>
      </w:r>
    </w:p>
    <w:p w14:paraId="44BBFB94" w14:textId="77777777" w:rsidR="00DF12CF" w:rsidRPr="00406D39" w:rsidRDefault="00DF12CF" w:rsidP="00DF12CF">
      <w:pPr>
        <w:spacing w:after="0"/>
        <w:jc w:val="left"/>
        <w:rPr>
          <w:rFonts w:asciiTheme="minorHAnsi" w:eastAsia="SimSun" w:hAnsiTheme="minorHAnsi" w:cstheme="minorHAnsi"/>
          <w:lang w:eastAsia="zh-CN"/>
        </w:rPr>
      </w:pPr>
      <w:r w:rsidRPr="00406D39">
        <w:rPr>
          <w:rStyle w:val="Lienhypertexte"/>
          <w:color w:val="auto"/>
        </w:rPr>
        <w:t xml:space="preserve">Belgium </w:t>
      </w:r>
      <w:r w:rsidRPr="00406D39">
        <w:rPr>
          <w:rFonts w:asciiTheme="minorHAnsi" w:eastAsia="SimSun" w:hAnsiTheme="minorHAnsi" w:cstheme="minorHAnsi"/>
          <w:lang w:eastAsia="zh-CN"/>
        </w:rPr>
        <w:t xml:space="preserve">+32 2 620 0585; </w:t>
      </w:r>
      <w:r w:rsidRPr="00406D39">
        <w:rPr>
          <w:rStyle w:val="Lienhypertexte"/>
          <w:color w:val="auto"/>
        </w:rPr>
        <w:t xml:space="preserve">Portugal </w:t>
      </w:r>
      <w:r w:rsidRPr="00406D39">
        <w:rPr>
          <w:rFonts w:asciiTheme="minorHAnsi" w:eastAsia="SimSun" w:hAnsiTheme="minorHAnsi" w:cstheme="minorHAnsi"/>
          <w:lang w:eastAsia="zh-CN"/>
        </w:rPr>
        <w:t>+351 2 1060 8585</w:t>
      </w:r>
    </w:p>
    <w:p w14:paraId="17210C86" w14:textId="77777777" w:rsidR="00B86797" w:rsidRDefault="00B86797" w:rsidP="00B86797">
      <w:pPr>
        <w:rPr>
          <w:rFonts w:ascii="Arial" w:hAnsi="Arial" w:cs="Arial"/>
          <w:color w:val="1F497D"/>
          <w:sz w:val="20"/>
          <w:szCs w:val="20"/>
          <w:lang w:val="en-US" w:eastAsia="fr-FR"/>
        </w:rPr>
      </w:pPr>
    </w:p>
    <w:p w14:paraId="4935F1B7" w14:textId="6ACB015B" w:rsidR="00FA7FB6" w:rsidRDefault="00FA7FB6" w:rsidP="00FA7FB6"/>
    <w:tbl>
      <w:tblPr>
        <w:tblStyle w:val="Grilledutableau"/>
        <w:tblW w:w="498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1"/>
        <w:gridCol w:w="6"/>
      </w:tblGrid>
      <w:tr w:rsidR="00956B6E" w14:paraId="793BDCE4" w14:textId="77777777" w:rsidTr="00B07B6F">
        <w:trPr>
          <w:trHeight w:val="121"/>
        </w:trPr>
        <w:tc>
          <w:tcPr>
            <w:tcW w:w="2608" w:type="pct"/>
          </w:tcPr>
          <w:tbl>
            <w:tblPr>
              <w:tblStyle w:val="Grilledutableau"/>
              <w:tblW w:w="99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40"/>
              <w:gridCol w:w="2520"/>
              <w:gridCol w:w="3779"/>
            </w:tblGrid>
            <w:tr w:rsidR="00D2702D" w:rsidRPr="00C657AF" w14:paraId="7F6643D6" w14:textId="77777777" w:rsidTr="00E07401">
              <w:trPr>
                <w:trHeight w:val="762"/>
              </w:trPr>
              <w:tc>
                <w:tcPr>
                  <w:tcW w:w="3640" w:type="dxa"/>
                  <w:vAlign w:val="center"/>
                </w:tcPr>
                <w:p w14:paraId="3586CFB9" w14:textId="66872CB5" w:rsidR="00D2702D" w:rsidRPr="00DF12CF" w:rsidRDefault="00D2702D" w:rsidP="00672505">
                  <w:pPr>
                    <w:spacing w:before="60" w:after="60"/>
                    <w:jc w:val="left"/>
                    <w:rPr>
                      <w:lang w:val="en-US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0FDBC8AC" w14:textId="77777777" w:rsidR="00672505" w:rsidRDefault="00672505" w:rsidP="00672505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7DAE2780" w14:textId="77777777" w:rsidR="00521E91" w:rsidRDefault="00521E91" w:rsidP="00672505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178470EF" w14:textId="0E1AD747" w:rsidR="00D2702D" w:rsidRPr="00DF12CF" w:rsidRDefault="00D2702D" w:rsidP="00406D39">
                  <w:pPr>
                    <w:spacing w:before="60" w:after="60"/>
                    <w:jc w:val="left"/>
                    <w:rPr>
                      <w:rFonts w:cs="Calibri"/>
                      <w:lang w:val="en-US"/>
                    </w:rPr>
                  </w:pPr>
                </w:p>
              </w:tc>
              <w:tc>
                <w:tcPr>
                  <w:tcW w:w="3779" w:type="dxa"/>
                  <w:vAlign w:val="center"/>
                </w:tcPr>
                <w:p w14:paraId="4EED4469" w14:textId="2E4D4CC7" w:rsidR="00D2702D" w:rsidRPr="009139E8" w:rsidRDefault="00D2702D" w:rsidP="00406D39">
                  <w:pPr>
                    <w:spacing w:before="60" w:after="60"/>
                    <w:jc w:val="left"/>
                    <w:rPr>
                      <w:rStyle w:val="Lienhypertexte"/>
                      <w:color w:val="008D7F"/>
                    </w:rPr>
                  </w:pPr>
                </w:p>
              </w:tc>
            </w:tr>
          </w:tbl>
          <w:p w14:paraId="114564D4" w14:textId="77777777" w:rsidR="00956B6E" w:rsidRDefault="00956B6E" w:rsidP="00FA7FB6"/>
        </w:tc>
        <w:tc>
          <w:tcPr>
            <w:tcW w:w="2392" w:type="pct"/>
          </w:tcPr>
          <w:p w14:paraId="2E39C4B3" w14:textId="77777777" w:rsidR="00956B6E" w:rsidRDefault="00956B6E" w:rsidP="009A3C84"/>
        </w:tc>
      </w:tr>
      <w:tr w:rsidR="00FA7FB6" w14:paraId="0C365510" w14:textId="77777777" w:rsidTr="00B07B6F">
        <w:trPr>
          <w:trHeight w:val="20"/>
        </w:trPr>
        <w:tc>
          <w:tcPr>
            <w:tcW w:w="2608" w:type="pct"/>
          </w:tcPr>
          <w:p w14:paraId="08961D2E" w14:textId="77777777" w:rsidR="00FA7FB6" w:rsidRDefault="00FA7FB6" w:rsidP="00FA7FB6"/>
        </w:tc>
        <w:tc>
          <w:tcPr>
            <w:tcW w:w="2392" w:type="pct"/>
          </w:tcPr>
          <w:p w14:paraId="01EA150D" w14:textId="77777777" w:rsidR="00FA7FB6" w:rsidRDefault="00FA7FB6" w:rsidP="00FA7FB6"/>
        </w:tc>
      </w:tr>
    </w:tbl>
    <w:p w14:paraId="18B04425" w14:textId="15D16E8E" w:rsidR="00DF12CF" w:rsidRDefault="00956B6E" w:rsidP="00DF12CF">
      <w:pPr>
        <w:ind w:right="792"/>
        <w:rPr>
          <w:rFonts w:cs="Calibri"/>
          <w:lang w:val="en-US"/>
        </w:rPr>
      </w:pPr>
      <w:r>
        <w:rPr>
          <w:rFonts w:asciiTheme="minorHAnsi" w:hAnsiTheme="minorHAnsi" w:cstheme="minorHAnsi"/>
        </w:rPr>
        <w:t xml:space="preserve">- </w:t>
      </w:r>
      <w:r w:rsidRPr="00956B6E">
        <w:rPr>
          <w:rFonts w:asciiTheme="minorHAnsi" w:hAnsiTheme="minorHAnsi" w:cstheme="minorHAnsi"/>
          <w:u w:val="single"/>
        </w:rPr>
        <w:t>On</w:t>
      </w:r>
      <w:r w:rsidR="00DF12CF">
        <w:rPr>
          <w:rFonts w:asciiTheme="minorHAnsi" w:hAnsiTheme="minorHAnsi" w:cstheme="minorHAnsi"/>
          <w:u w:val="single"/>
        </w:rPr>
        <w:t xml:space="preserve"> </w:t>
      </w:r>
      <w:r w:rsidR="002A043F">
        <w:rPr>
          <w:rFonts w:asciiTheme="minorHAnsi" w:hAnsiTheme="minorHAnsi" w:cstheme="minorHAnsi"/>
          <w:u w:val="single"/>
        </w:rPr>
        <w:t xml:space="preserve">Saturday </w:t>
      </w:r>
      <w:r w:rsidR="004A6A42">
        <w:rPr>
          <w:rFonts w:asciiTheme="minorHAnsi" w:hAnsiTheme="minorHAnsi" w:cstheme="minorHAnsi"/>
          <w:u w:val="single"/>
        </w:rPr>
        <w:t>24</w:t>
      </w:r>
      <w:r w:rsidR="00160316">
        <w:rPr>
          <w:rFonts w:asciiTheme="minorHAnsi" w:hAnsiTheme="minorHAnsi" w:cstheme="minorHAnsi"/>
          <w:u w:val="single"/>
        </w:rPr>
        <w:t xml:space="preserve"> </w:t>
      </w:r>
      <w:r w:rsidR="004A6A42">
        <w:rPr>
          <w:rFonts w:asciiTheme="minorHAnsi" w:hAnsiTheme="minorHAnsi" w:cstheme="minorHAnsi"/>
          <w:u w:val="single"/>
        </w:rPr>
        <w:t>October</w:t>
      </w:r>
      <w:bookmarkStart w:id="0" w:name="_GoBack"/>
      <w:bookmarkEnd w:id="0"/>
      <w:r w:rsidR="00160316">
        <w:rPr>
          <w:rFonts w:asciiTheme="minorHAnsi" w:hAnsiTheme="minorHAnsi" w:cstheme="minorHAnsi"/>
          <w:u w:val="single"/>
        </w:rPr>
        <w:t xml:space="preserve"> 2020</w:t>
      </w:r>
      <w:r w:rsidR="002A043F"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</w:rPr>
        <w:t xml:space="preserve">, please contact </w:t>
      </w:r>
      <w:r w:rsidR="00DF12CF" w:rsidRPr="00DF12CF">
        <w:rPr>
          <w:rFonts w:asciiTheme="minorHAnsi" w:hAnsiTheme="minorHAnsi" w:cstheme="minorHAnsi"/>
        </w:rPr>
        <w:t>Operational Clients Relationship Officer – Euronext Market Services on email:</w:t>
      </w:r>
      <w:r w:rsidR="00DF12CF">
        <w:rPr>
          <w:rFonts w:cs="Calibri"/>
          <w:color w:val="1F497D"/>
          <w:lang w:val="en-US" w:eastAsia="nl-NL"/>
        </w:rPr>
        <w:t xml:space="preserve"> </w:t>
      </w:r>
      <w:hyperlink r:id="rId16" w:history="1">
        <w:r w:rsidR="00DF12CF">
          <w:rPr>
            <w:rStyle w:val="Lienhypertexte"/>
            <w:rFonts w:cs="Calibri"/>
            <w:lang w:val="en-US"/>
          </w:rPr>
          <w:t>clientsupport@euronext.com</w:t>
        </w:r>
      </w:hyperlink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07"/>
      </w:tblGrid>
      <w:tr w:rsidR="00530C78" w:rsidRPr="00A35D51" w14:paraId="2417F2E0" w14:textId="77777777" w:rsidTr="00672505">
        <w:trPr>
          <w:trHeight w:val="54"/>
        </w:trPr>
        <w:tc>
          <w:tcPr>
            <w:tcW w:w="9307" w:type="dxa"/>
          </w:tcPr>
          <w:p w14:paraId="4DF2B7AF" w14:textId="77777777" w:rsidR="00672505" w:rsidRPr="00406D39" w:rsidRDefault="00672505" w:rsidP="00672505">
            <w:pPr>
              <w:spacing w:after="0"/>
              <w:jc w:val="left"/>
              <w:rPr>
                <w:rStyle w:val="Lienhypertexte"/>
                <w:color w:val="auto"/>
              </w:rPr>
            </w:pPr>
            <w:r w:rsidRPr="00406D39">
              <w:rPr>
                <w:rStyle w:val="Lienhypertexte"/>
                <w:color w:val="auto"/>
              </w:rPr>
              <w:t xml:space="preserve">Tel. (calling from): France </w:t>
            </w:r>
            <w:r w:rsidRPr="00406D39">
              <w:rPr>
                <w:rFonts w:asciiTheme="minorHAnsi" w:eastAsia="SimSun" w:hAnsiTheme="minorHAnsi" w:cstheme="minorHAnsi"/>
                <w:lang w:eastAsia="zh-CN"/>
              </w:rPr>
              <w:t xml:space="preserve">+33 1 8514 8585; </w:t>
            </w:r>
            <w:r w:rsidRPr="00406D39">
              <w:rPr>
                <w:rStyle w:val="Lienhypertexte"/>
                <w:color w:val="auto"/>
              </w:rPr>
              <w:t xml:space="preserve">The Netherlands </w:t>
            </w:r>
            <w:r w:rsidRPr="00406D39">
              <w:rPr>
                <w:rFonts w:asciiTheme="minorHAnsi" w:eastAsia="SimSun" w:hAnsiTheme="minorHAnsi" w:cstheme="minorHAnsi"/>
                <w:lang w:eastAsia="zh-CN"/>
              </w:rPr>
              <w:t xml:space="preserve">+31 20 721 9585; </w:t>
            </w:r>
            <w:r w:rsidRPr="00406D39">
              <w:rPr>
                <w:rStyle w:val="Lienhypertexte"/>
                <w:color w:val="auto"/>
              </w:rPr>
              <w:t xml:space="preserve">UK </w:t>
            </w:r>
            <w:r w:rsidRPr="00406D39">
              <w:rPr>
                <w:rFonts w:asciiTheme="minorHAnsi" w:eastAsia="SimSun" w:hAnsiTheme="minorHAnsi" w:cstheme="minorHAnsi"/>
                <w:lang w:eastAsia="zh-CN"/>
              </w:rPr>
              <w:t>+44 20 7660 8585;</w:t>
            </w:r>
          </w:p>
          <w:p w14:paraId="737D896D" w14:textId="77777777" w:rsidR="00672505" w:rsidRPr="00406D39" w:rsidRDefault="00672505" w:rsidP="00672505">
            <w:pPr>
              <w:spacing w:after="0"/>
              <w:jc w:val="left"/>
              <w:rPr>
                <w:rFonts w:asciiTheme="minorHAnsi" w:eastAsia="SimSun" w:hAnsiTheme="minorHAnsi" w:cstheme="minorHAnsi"/>
                <w:lang w:eastAsia="zh-CN"/>
              </w:rPr>
            </w:pPr>
            <w:r w:rsidRPr="00406D39">
              <w:rPr>
                <w:rStyle w:val="Lienhypertexte"/>
                <w:color w:val="auto"/>
              </w:rPr>
              <w:t xml:space="preserve">Belgium </w:t>
            </w:r>
            <w:r w:rsidRPr="00406D39">
              <w:rPr>
                <w:rFonts w:asciiTheme="minorHAnsi" w:eastAsia="SimSun" w:hAnsiTheme="minorHAnsi" w:cstheme="minorHAnsi"/>
                <w:lang w:eastAsia="zh-CN"/>
              </w:rPr>
              <w:t xml:space="preserve">+32 2 620 0585; </w:t>
            </w:r>
            <w:r w:rsidRPr="00406D39">
              <w:rPr>
                <w:rStyle w:val="Lienhypertexte"/>
                <w:color w:val="auto"/>
              </w:rPr>
              <w:t xml:space="preserve">Portugal </w:t>
            </w:r>
            <w:r w:rsidRPr="00406D39">
              <w:rPr>
                <w:rFonts w:asciiTheme="minorHAnsi" w:eastAsia="SimSun" w:hAnsiTheme="minorHAnsi" w:cstheme="minorHAnsi"/>
                <w:lang w:eastAsia="zh-CN"/>
              </w:rPr>
              <w:t>+351 2 1060 8585</w:t>
            </w:r>
          </w:p>
          <w:p w14:paraId="320E22D2" w14:textId="77777777" w:rsidR="00672505" w:rsidRDefault="00672505" w:rsidP="00672505">
            <w:pPr>
              <w:rPr>
                <w:color w:val="008D7F"/>
              </w:rPr>
            </w:pPr>
            <w:r w:rsidRPr="00066D35">
              <w:rPr>
                <w:color w:val="008D7F"/>
              </w:rPr>
              <w:t xml:space="preserve"> </w:t>
            </w:r>
          </w:p>
          <w:p w14:paraId="635A8E74" w14:textId="77777777" w:rsidR="00530C78" w:rsidRPr="00A35D51" w:rsidRDefault="00530C78" w:rsidP="00530C7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Calibri"/>
                <w:color w:val="000000"/>
                <w:lang w:val="en-US"/>
              </w:rPr>
            </w:pPr>
          </w:p>
        </w:tc>
      </w:tr>
      <w:tr w:rsidR="00530C78" w:rsidRPr="00A35D51" w14:paraId="6E934FF2" w14:textId="77777777" w:rsidTr="00672505">
        <w:trPr>
          <w:trHeight w:val="52"/>
        </w:trPr>
        <w:tc>
          <w:tcPr>
            <w:tcW w:w="9307" w:type="dxa"/>
          </w:tcPr>
          <w:p w14:paraId="45CD4315" w14:textId="77777777" w:rsidR="00530C78" w:rsidRPr="00A35D51" w:rsidRDefault="00530C78" w:rsidP="00A35D5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Calibri"/>
                <w:color w:val="000000"/>
                <w:sz w:val="21"/>
                <w:szCs w:val="21"/>
                <w:lang w:val="en-US"/>
              </w:rPr>
            </w:pPr>
          </w:p>
        </w:tc>
      </w:tr>
      <w:tr w:rsidR="00530C78" w:rsidRPr="00A35D51" w14:paraId="4FF40CAE" w14:textId="77777777" w:rsidTr="00672505">
        <w:trPr>
          <w:trHeight w:val="36"/>
        </w:trPr>
        <w:tc>
          <w:tcPr>
            <w:tcW w:w="9307" w:type="dxa"/>
          </w:tcPr>
          <w:p w14:paraId="246EF685" w14:textId="77777777" w:rsidR="00530C78" w:rsidRPr="00672505" w:rsidRDefault="00530C78" w:rsidP="00A35D5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Calibri"/>
                <w:color w:val="000000"/>
                <w:sz w:val="21"/>
                <w:szCs w:val="21"/>
              </w:rPr>
            </w:pPr>
          </w:p>
        </w:tc>
      </w:tr>
    </w:tbl>
    <w:p w14:paraId="60974A2C" w14:textId="77777777" w:rsidR="00A35D51" w:rsidRDefault="00A35D51" w:rsidP="006D7213">
      <w:pPr>
        <w:keepNext/>
        <w:rPr>
          <w:rFonts w:asciiTheme="minorHAnsi" w:hAnsiTheme="minorHAnsi" w:cstheme="minorHAnsi"/>
        </w:rPr>
      </w:pPr>
    </w:p>
    <w:p w14:paraId="27056775" w14:textId="77777777" w:rsidR="0055742B" w:rsidRPr="004427EC" w:rsidRDefault="0055742B" w:rsidP="004427EC"/>
    <w:sectPr w:rsidR="0055742B" w:rsidRPr="004427EC" w:rsidSect="00F111FD">
      <w:footerReference w:type="default" r:id="rId17"/>
      <w:headerReference w:type="first" r:id="rId18"/>
      <w:footerReference w:type="first" r:id="rId19"/>
      <w:pgSz w:w="11906" w:h="16838" w:code="9"/>
      <w:pgMar w:top="993" w:right="851" w:bottom="851" w:left="1418" w:header="93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E0B6C" w14:textId="77777777" w:rsidR="004B0A7D" w:rsidRDefault="004B0A7D" w:rsidP="00837636">
      <w:pPr>
        <w:spacing w:after="0" w:line="240" w:lineRule="auto"/>
      </w:pPr>
      <w:r>
        <w:separator/>
      </w:r>
    </w:p>
  </w:endnote>
  <w:endnote w:type="continuationSeparator" w:id="0">
    <w:p w14:paraId="52136913" w14:textId="77777777" w:rsidR="004B0A7D" w:rsidRDefault="004B0A7D" w:rsidP="00837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3B8B0" w14:textId="10373A5A" w:rsidR="00345CAA" w:rsidRPr="002972CB" w:rsidRDefault="000931AD" w:rsidP="002972CB">
    <w:pPr>
      <w:pStyle w:val="Pieddepage"/>
      <w:jc w:val="right"/>
    </w:pPr>
    <w:r w:rsidRPr="002972CB">
      <w:fldChar w:fldCharType="begin"/>
    </w:r>
    <w:r w:rsidR="00345CAA" w:rsidRPr="002972CB">
      <w:instrText xml:space="preserve"> PAGE   \* MERGEFORMAT </w:instrText>
    </w:r>
    <w:r w:rsidRPr="002972CB">
      <w:fldChar w:fldCharType="separate"/>
    </w:r>
    <w:r w:rsidR="00792E64">
      <w:rPr>
        <w:noProof/>
      </w:rPr>
      <w:t>2</w:t>
    </w:r>
    <w:r w:rsidRPr="002972C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42B58" w14:textId="77777777" w:rsidR="00410EF3" w:rsidRPr="0014511F" w:rsidRDefault="0014511F" w:rsidP="0014511F">
    <w:pPr>
      <w:pStyle w:val="FooterRegInfo"/>
      <w:rPr>
        <w:rFonts w:ascii="Arial" w:hAnsi="Arial" w:cs="Arial"/>
        <w:color w:val="000000"/>
        <w:sz w:val="12"/>
        <w:szCs w:val="12"/>
        <w:lang w:eastAsia="en-GB"/>
      </w:rPr>
    </w:pPr>
    <w:r>
      <w:rPr>
        <w:rFonts w:ascii="Arial" w:hAnsi="Arial" w:cs="Arial"/>
        <w:b/>
        <w:sz w:val="12"/>
        <w:szCs w:val="12"/>
        <w:lang w:eastAsia="en-GB"/>
      </w:rPr>
      <w:tab/>
    </w:r>
    <w:hyperlink r:id="rId1" w:history="1">
      <w:r w:rsidR="00730528" w:rsidRPr="001959E4">
        <w:rPr>
          <w:rStyle w:val="Lienhypertexte"/>
        </w:rPr>
        <w:t>www.euronext.com</w:t>
      </w:r>
    </w:hyperlink>
    <w:r w:rsidR="007305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753E2" w14:textId="77777777" w:rsidR="004B0A7D" w:rsidRDefault="004B0A7D" w:rsidP="00837636">
      <w:pPr>
        <w:spacing w:after="0" w:line="240" w:lineRule="auto"/>
      </w:pPr>
      <w:r>
        <w:separator/>
      </w:r>
    </w:p>
  </w:footnote>
  <w:footnote w:type="continuationSeparator" w:id="0">
    <w:p w14:paraId="40CA1ABF" w14:textId="77777777" w:rsidR="004B0A7D" w:rsidRDefault="004B0A7D" w:rsidP="00837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EE8E0" w14:textId="77777777" w:rsidR="00837636" w:rsidRDefault="0055215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776" behindDoc="1" locked="0" layoutInCell="1" allowOverlap="1" wp14:anchorId="52E6046E" wp14:editId="5D44DBC8">
          <wp:simplePos x="0" y="0"/>
          <wp:positionH relativeFrom="column">
            <wp:posOffset>-651510</wp:posOffset>
          </wp:positionH>
          <wp:positionV relativeFrom="paragraph">
            <wp:posOffset>-372745</wp:posOffset>
          </wp:positionV>
          <wp:extent cx="7266940" cy="1492885"/>
          <wp:effectExtent l="0" t="0" r="0" b="0"/>
          <wp:wrapThrough wrapText="bothSides">
            <wp:wrapPolygon edited="0">
              <wp:start x="0" y="0"/>
              <wp:lineTo x="0" y="21223"/>
              <wp:lineTo x="21517" y="21223"/>
              <wp:lineTo x="21517" y="0"/>
              <wp:lineTo x="0" y="0"/>
            </wp:wrapPolygon>
          </wp:wrapThrough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149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1AF">
      <w:rPr>
        <w:noProof/>
        <w:lang w:val="fr-FR" w:eastAsia="fr-FR"/>
      </w:rPr>
      <w:drawing>
        <wp:anchor distT="0" distB="0" distL="114300" distR="114300" simplePos="0" relativeHeight="251656704" behindDoc="1" locked="0" layoutInCell="1" allowOverlap="1" wp14:anchorId="35B0701B" wp14:editId="4CC99D9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9200" cy="1616400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yx_A4banner_LiffeNotic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61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15632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E48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E02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AA23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181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E2C9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DA78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3ACA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FE5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00C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36479"/>
    <w:multiLevelType w:val="multilevel"/>
    <w:tmpl w:val="0E041C12"/>
    <w:styleLink w:val="NumbLstBullet"/>
    <w:lvl w:ilvl="0">
      <w:start w:val="1"/>
      <w:numFmt w:val="bullet"/>
      <w:pStyle w:val="Bullet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8D7F"/>
      </w:rPr>
    </w:lvl>
    <w:lvl w:ilvl="1">
      <w:start w:val="1"/>
      <w:numFmt w:val="bullet"/>
      <w:pStyle w:val="Bullet2"/>
      <w:lvlText w:val=""/>
      <w:lvlJc w:val="left"/>
      <w:pPr>
        <w:ind w:left="680" w:hanging="340"/>
      </w:pPr>
      <w:rPr>
        <w:rFonts w:ascii="Arial" w:hAnsi="Arial" w:hint="default"/>
        <w:color w:val="008D7F"/>
      </w:rPr>
    </w:lvl>
    <w:lvl w:ilvl="2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</w:abstractNum>
  <w:abstractNum w:abstractNumId="11" w15:restartNumberingAfterBreak="0">
    <w:nsid w:val="0C0B37EA"/>
    <w:multiLevelType w:val="multilevel"/>
    <w:tmpl w:val="4342A210"/>
    <w:numStyleLink w:val="NumbLstNumb"/>
  </w:abstractNum>
  <w:abstractNum w:abstractNumId="12" w15:restartNumberingAfterBreak="0">
    <w:nsid w:val="15383AD4"/>
    <w:multiLevelType w:val="hybridMultilevel"/>
    <w:tmpl w:val="28B4D2C2"/>
    <w:lvl w:ilvl="0" w:tplc="040C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1D4E6B62"/>
    <w:multiLevelType w:val="hybridMultilevel"/>
    <w:tmpl w:val="EAF437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B69EE"/>
    <w:multiLevelType w:val="hybridMultilevel"/>
    <w:tmpl w:val="0A3AB3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D763C8"/>
    <w:multiLevelType w:val="hybridMultilevel"/>
    <w:tmpl w:val="48AA2C52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 w15:restartNumberingAfterBreak="0">
    <w:nsid w:val="4604552E"/>
    <w:multiLevelType w:val="multilevel"/>
    <w:tmpl w:val="4342A210"/>
    <w:numStyleLink w:val="NumbLstNumb"/>
  </w:abstractNum>
  <w:abstractNum w:abstractNumId="17" w15:restartNumberingAfterBreak="0">
    <w:nsid w:val="4A446518"/>
    <w:multiLevelType w:val="multilevel"/>
    <w:tmpl w:val="4342A210"/>
    <w:numStyleLink w:val="NumbLstNumb"/>
  </w:abstractNum>
  <w:abstractNum w:abstractNumId="18" w15:restartNumberingAfterBreak="0">
    <w:nsid w:val="4BA6742F"/>
    <w:multiLevelType w:val="hybridMultilevel"/>
    <w:tmpl w:val="1C289DB0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9" w15:restartNumberingAfterBreak="0">
    <w:nsid w:val="56595E76"/>
    <w:multiLevelType w:val="multilevel"/>
    <w:tmpl w:val="4342A210"/>
    <w:numStyleLink w:val="NumbLstNumb"/>
  </w:abstractNum>
  <w:abstractNum w:abstractNumId="20" w15:restartNumberingAfterBreak="0">
    <w:nsid w:val="59486E92"/>
    <w:multiLevelType w:val="hybridMultilevel"/>
    <w:tmpl w:val="AAA051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F0948"/>
    <w:multiLevelType w:val="multilevel"/>
    <w:tmpl w:val="4342A210"/>
    <w:styleLink w:val="NumbLstNumb"/>
    <w:lvl w:ilvl="0">
      <w:start w:val="1"/>
      <w:numFmt w:val="decimal"/>
      <w:pStyle w:val="NumbList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NumbList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color w:val="auto"/>
      </w:rPr>
    </w:lvl>
    <w:lvl w:ilvl="2">
      <w:start w:val="1"/>
      <w:numFmt w:val="decimal"/>
      <w:pStyle w:val="NumbLis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color w:val="auto"/>
      </w:rPr>
    </w:lvl>
    <w:lvl w:ilvl="3">
      <w:start w:val="1"/>
      <w:numFmt w:val="bullet"/>
      <w:lvlRestart w:val="0"/>
      <w:pStyle w:val="NumbList4"/>
      <w:lvlText w:val="■"/>
      <w:lvlJc w:val="left"/>
      <w:pPr>
        <w:tabs>
          <w:tab w:val="num" w:pos="1021"/>
        </w:tabs>
        <w:ind w:left="1021" w:hanging="341"/>
      </w:pPr>
      <w:rPr>
        <w:rFonts w:ascii="Arial" w:hAnsi="Arial" w:hint="default"/>
        <w:color w:val="008D7F"/>
      </w:rPr>
    </w:lvl>
    <w:lvl w:ilvl="4">
      <w:start w:val="1"/>
      <w:numFmt w:val="bullet"/>
      <w:lvlRestart w:val="0"/>
      <w:pStyle w:val="NumbList5"/>
      <w:lvlText w:val="□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auto"/>
      </w:rPr>
    </w:lvl>
    <w:lvl w:ilvl="5">
      <w:start w:val="1"/>
      <w:numFmt w:val="none"/>
      <w:lvlRestart w:val="0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lvlRestart w:val="0"/>
      <w:pStyle w:val="Event"/>
      <w:suff w:val="nothing"/>
      <w:lvlText w:val=""/>
      <w:lvlJc w:val="left"/>
      <w:pPr>
        <w:ind w:left="1701" w:hanging="102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22" w15:restartNumberingAfterBreak="0">
    <w:nsid w:val="631B3CA9"/>
    <w:multiLevelType w:val="hybridMultilevel"/>
    <w:tmpl w:val="C6B0F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12B92"/>
    <w:multiLevelType w:val="multilevel"/>
    <w:tmpl w:val="4342A210"/>
    <w:numStyleLink w:val="NumbLstNumb"/>
  </w:abstractNum>
  <w:abstractNum w:abstractNumId="24" w15:restartNumberingAfterBreak="0">
    <w:nsid w:val="68844C7B"/>
    <w:multiLevelType w:val="hybridMultilevel"/>
    <w:tmpl w:val="57C46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EA37EB"/>
    <w:multiLevelType w:val="multilevel"/>
    <w:tmpl w:val="4342A210"/>
    <w:numStyleLink w:val="NumbLstNumb"/>
  </w:abstractNum>
  <w:abstractNum w:abstractNumId="26" w15:restartNumberingAfterBreak="0">
    <w:nsid w:val="7BC17E9C"/>
    <w:multiLevelType w:val="hybridMultilevel"/>
    <w:tmpl w:val="A40E543A"/>
    <w:lvl w:ilvl="0" w:tplc="6FBAA3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B2C40"/>
    <w:multiLevelType w:val="multilevel"/>
    <w:tmpl w:val="4342A210"/>
    <w:numStyleLink w:val="NumbLstNumb"/>
  </w:abstractNum>
  <w:num w:numId="1">
    <w:abstractNumId w:val="0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</w:num>
  <w:num w:numId="19">
    <w:abstractNumId w:val="21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10"/>
  </w:num>
  <w:num w:numId="25">
    <w:abstractNumId w:val="21"/>
  </w:num>
  <w:num w:numId="26">
    <w:abstractNumId w:val="16"/>
  </w:num>
  <w:num w:numId="27">
    <w:abstractNumId w:val="11"/>
  </w:num>
  <w:num w:numId="28">
    <w:abstractNumId w:val="17"/>
  </w:num>
  <w:num w:numId="29">
    <w:abstractNumId w:val="19"/>
  </w:num>
  <w:num w:numId="30">
    <w:abstractNumId w:val="23"/>
  </w:num>
  <w:num w:numId="31">
    <w:abstractNumId w:val="27"/>
  </w:num>
  <w:num w:numId="32">
    <w:abstractNumId w:val="27"/>
  </w:num>
  <w:num w:numId="33">
    <w:abstractNumId w:val="25"/>
  </w:num>
  <w:num w:numId="34">
    <w:abstractNumId w:val="10"/>
  </w:num>
  <w:num w:numId="35">
    <w:abstractNumId w:val="15"/>
  </w:num>
  <w:num w:numId="36">
    <w:abstractNumId w:val="14"/>
  </w:num>
  <w:num w:numId="37">
    <w:abstractNumId w:val="13"/>
  </w:num>
  <w:num w:numId="38">
    <w:abstractNumId w:val="24"/>
  </w:num>
  <w:num w:numId="39">
    <w:abstractNumId w:val="18"/>
  </w:num>
  <w:num w:numId="40">
    <w:abstractNumId w:val="22"/>
  </w:num>
  <w:num w:numId="41">
    <w:abstractNumId w:val="20"/>
  </w:num>
  <w:num w:numId="42">
    <w:abstractNumId w:val="12"/>
  </w:num>
  <w:num w:numId="43">
    <w:abstractNumId w:val="10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0B"/>
    <w:rsid w:val="00007F6E"/>
    <w:rsid w:val="00010CDF"/>
    <w:rsid w:val="0001313B"/>
    <w:rsid w:val="00021E17"/>
    <w:rsid w:val="000306F8"/>
    <w:rsid w:val="00052213"/>
    <w:rsid w:val="00063442"/>
    <w:rsid w:val="00071631"/>
    <w:rsid w:val="00074D49"/>
    <w:rsid w:val="000873BB"/>
    <w:rsid w:val="000931AD"/>
    <w:rsid w:val="000A2D45"/>
    <w:rsid w:val="000A341E"/>
    <w:rsid w:val="000A7AB5"/>
    <w:rsid w:val="000B7139"/>
    <w:rsid w:val="000C07DA"/>
    <w:rsid w:val="000D21C2"/>
    <w:rsid w:val="000E1516"/>
    <w:rsid w:val="000F5044"/>
    <w:rsid w:val="000F64F8"/>
    <w:rsid w:val="001031EB"/>
    <w:rsid w:val="00107999"/>
    <w:rsid w:val="00116E9F"/>
    <w:rsid w:val="00136266"/>
    <w:rsid w:val="0014511F"/>
    <w:rsid w:val="00160316"/>
    <w:rsid w:val="0017538B"/>
    <w:rsid w:val="0018268B"/>
    <w:rsid w:val="001A1762"/>
    <w:rsid w:val="001A714A"/>
    <w:rsid w:val="001C08AC"/>
    <w:rsid w:val="001C33E3"/>
    <w:rsid w:val="001C7ADA"/>
    <w:rsid w:val="002048AF"/>
    <w:rsid w:val="002319FC"/>
    <w:rsid w:val="002352B4"/>
    <w:rsid w:val="002369D8"/>
    <w:rsid w:val="00240086"/>
    <w:rsid w:val="00247671"/>
    <w:rsid w:val="002511F3"/>
    <w:rsid w:val="002824F4"/>
    <w:rsid w:val="002924F4"/>
    <w:rsid w:val="002932ED"/>
    <w:rsid w:val="002972CB"/>
    <w:rsid w:val="002A043F"/>
    <w:rsid w:val="002A12E6"/>
    <w:rsid w:val="002E4BF9"/>
    <w:rsid w:val="00301A77"/>
    <w:rsid w:val="00307B52"/>
    <w:rsid w:val="00321DAB"/>
    <w:rsid w:val="00322C7A"/>
    <w:rsid w:val="003233FF"/>
    <w:rsid w:val="003266E0"/>
    <w:rsid w:val="00327A27"/>
    <w:rsid w:val="00342373"/>
    <w:rsid w:val="00345CAA"/>
    <w:rsid w:val="00345D02"/>
    <w:rsid w:val="00350932"/>
    <w:rsid w:val="00367888"/>
    <w:rsid w:val="00370D58"/>
    <w:rsid w:val="003861C2"/>
    <w:rsid w:val="003933A9"/>
    <w:rsid w:val="0039406D"/>
    <w:rsid w:val="003C1856"/>
    <w:rsid w:val="003C6C84"/>
    <w:rsid w:val="003D1EF2"/>
    <w:rsid w:val="003E170B"/>
    <w:rsid w:val="003E51F1"/>
    <w:rsid w:val="00402778"/>
    <w:rsid w:val="00406D39"/>
    <w:rsid w:val="00410950"/>
    <w:rsid w:val="00410EF3"/>
    <w:rsid w:val="00413D4B"/>
    <w:rsid w:val="004146A7"/>
    <w:rsid w:val="00423BB1"/>
    <w:rsid w:val="0043139D"/>
    <w:rsid w:val="004427EC"/>
    <w:rsid w:val="00446BDE"/>
    <w:rsid w:val="00447C0B"/>
    <w:rsid w:val="00450FDF"/>
    <w:rsid w:val="00451259"/>
    <w:rsid w:val="004523A1"/>
    <w:rsid w:val="0045582F"/>
    <w:rsid w:val="00470E07"/>
    <w:rsid w:val="004A6A42"/>
    <w:rsid w:val="004B0A7D"/>
    <w:rsid w:val="004B4E51"/>
    <w:rsid w:val="004C3F77"/>
    <w:rsid w:val="004C6274"/>
    <w:rsid w:val="004D60A6"/>
    <w:rsid w:val="00501605"/>
    <w:rsid w:val="0050463F"/>
    <w:rsid w:val="00505EAA"/>
    <w:rsid w:val="005201E3"/>
    <w:rsid w:val="00521E91"/>
    <w:rsid w:val="00530C78"/>
    <w:rsid w:val="00531301"/>
    <w:rsid w:val="005355F2"/>
    <w:rsid w:val="00552159"/>
    <w:rsid w:val="0055248A"/>
    <w:rsid w:val="0055742B"/>
    <w:rsid w:val="00571178"/>
    <w:rsid w:val="00573292"/>
    <w:rsid w:val="00590148"/>
    <w:rsid w:val="00593D69"/>
    <w:rsid w:val="005B1985"/>
    <w:rsid w:val="005D4A8E"/>
    <w:rsid w:val="005F7A8D"/>
    <w:rsid w:val="00600F54"/>
    <w:rsid w:val="0063717C"/>
    <w:rsid w:val="00643DE0"/>
    <w:rsid w:val="00651395"/>
    <w:rsid w:val="00657F33"/>
    <w:rsid w:val="00663BD0"/>
    <w:rsid w:val="00670F3B"/>
    <w:rsid w:val="00672505"/>
    <w:rsid w:val="00685E5C"/>
    <w:rsid w:val="006906A4"/>
    <w:rsid w:val="00693C32"/>
    <w:rsid w:val="006A0A27"/>
    <w:rsid w:val="006A235E"/>
    <w:rsid w:val="006A4522"/>
    <w:rsid w:val="006A79D2"/>
    <w:rsid w:val="006B7EC4"/>
    <w:rsid w:val="006D7213"/>
    <w:rsid w:val="006E2636"/>
    <w:rsid w:val="006F54F7"/>
    <w:rsid w:val="00703425"/>
    <w:rsid w:val="007056D1"/>
    <w:rsid w:val="00711076"/>
    <w:rsid w:val="0071158B"/>
    <w:rsid w:val="0072706D"/>
    <w:rsid w:val="00730528"/>
    <w:rsid w:val="0073085A"/>
    <w:rsid w:val="00743F7D"/>
    <w:rsid w:val="00744067"/>
    <w:rsid w:val="0075268A"/>
    <w:rsid w:val="00761507"/>
    <w:rsid w:val="00764BBC"/>
    <w:rsid w:val="00773B91"/>
    <w:rsid w:val="00775B1B"/>
    <w:rsid w:val="00792E64"/>
    <w:rsid w:val="007A13B9"/>
    <w:rsid w:val="007A70B6"/>
    <w:rsid w:val="007C6677"/>
    <w:rsid w:val="007E09BB"/>
    <w:rsid w:val="007E1A1C"/>
    <w:rsid w:val="007E5EC0"/>
    <w:rsid w:val="00803BF8"/>
    <w:rsid w:val="0081331A"/>
    <w:rsid w:val="00816B83"/>
    <w:rsid w:val="00822BEA"/>
    <w:rsid w:val="00837636"/>
    <w:rsid w:val="00844896"/>
    <w:rsid w:val="00855C8D"/>
    <w:rsid w:val="00860DAC"/>
    <w:rsid w:val="008714F9"/>
    <w:rsid w:val="008725F6"/>
    <w:rsid w:val="008731FF"/>
    <w:rsid w:val="00875829"/>
    <w:rsid w:val="00875DA5"/>
    <w:rsid w:val="00880AAE"/>
    <w:rsid w:val="00882246"/>
    <w:rsid w:val="00897539"/>
    <w:rsid w:val="008A3AD2"/>
    <w:rsid w:val="008A646E"/>
    <w:rsid w:val="008C0DB1"/>
    <w:rsid w:val="008C4B8E"/>
    <w:rsid w:val="008E2065"/>
    <w:rsid w:val="00920D10"/>
    <w:rsid w:val="00935852"/>
    <w:rsid w:val="00937C44"/>
    <w:rsid w:val="0094614B"/>
    <w:rsid w:val="009468DC"/>
    <w:rsid w:val="00956B6E"/>
    <w:rsid w:val="00957F03"/>
    <w:rsid w:val="009665C7"/>
    <w:rsid w:val="009811AA"/>
    <w:rsid w:val="00981F1F"/>
    <w:rsid w:val="0098265A"/>
    <w:rsid w:val="0099246A"/>
    <w:rsid w:val="009A3C84"/>
    <w:rsid w:val="009B2E36"/>
    <w:rsid w:val="009C34AD"/>
    <w:rsid w:val="00A20864"/>
    <w:rsid w:val="00A300D8"/>
    <w:rsid w:val="00A35D51"/>
    <w:rsid w:val="00A54ED6"/>
    <w:rsid w:val="00A5779D"/>
    <w:rsid w:val="00A648BC"/>
    <w:rsid w:val="00A825E0"/>
    <w:rsid w:val="00A82CDA"/>
    <w:rsid w:val="00A84A32"/>
    <w:rsid w:val="00A84EE3"/>
    <w:rsid w:val="00A94A0B"/>
    <w:rsid w:val="00A95FAF"/>
    <w:rsid w:val="00AA715B"/>
    <w:rsid w:val="00AC6611"/>
    <w:rsid w:val="00AC7B4F"/>
    <w:rsid w:val="00AD62D7"/>
    <w:rsid w:val="00AD6DEB"/>
    <w:rsid w:val="00AF0737"/>
    <w:rsid w:val="00B07B6F"/>
    <w:rsid w:val="00B4022A"/>
    <w:rsid w:val="00B444F2"/>
    <w:rsid w:val="00B4503B"/>
    <w:rsid w:val="00B534B0"/>
    <w:rsid w:val="00B55275"/>
    <w:rsid w:val="00B636D9"/>
    <w:rsid w:val="00B73CF7"/>
    <w:rsid w:val="00B74E94"/>
    <w:rsid w:val="00B81E89"/>
    <w:rsid w:val="00B86797"/>
    <w:rsid w:val="00BA031C"/>
    <w:rsid w:val="00BB0E40"/>
    <w:rsid w:val="00BB29B1"/>
    <w:rsid w:val="00BD31AF"/>
    <w:rsid w:val="00BE510E"/>
    <w:rsid w:val="00BF5353"/>
    <w:rsid w:val="00C200E8"/>
    <w:rsid w:val="00C338F1"/>
    <w:rsid w:val="00C33FF9"/>
    <w:rsid w:val="00C412F4"/>
    <w:rsid w:val="00C42D44"/>
    <w:rsid w:val="00C4357A"/>
    <w:rsid w:val="00C506B2"/>
    <w:rsid w:val="00CA2F78"/>
    <w:rsid w:val="00CA3B93"/>
    <w:rsid w:val="00CC0F11"/>
    <w:rsid w:val="00CC27AD"/>
    <w:rsid w:val="00CC5976"/>
    <w:rsid w:val="00CF19E6"/>
    <w:rsid w:val="00D03DB9"/>
    <w:rsid w:val="00D0650D"/>
    <w:rsid w:val="00D14BAA"/>
    <w:rsid w:val="00D150CB"/>
    <w:rsid w:val="00D2702D"/>
    <w:rsid w:val="00D30DB4"/>
    <w:rsid w:val="00D375C0"/>
    <w:rsid w:val="00D539A1"/>
    <w:rsid w:val="00D72251"/>
    <w:rsid w:val="00D73CEB"/>
    <w:rsid w:val="00D8209B"/>
    <w:rsid w:val="00D83964"/>
    <w:rsid w:val="00D94EE5"/>
    <w:rsid w:val="00DB612F"/>
    <w:rsid w:val="00DB7058"/>
    <w:rsid w:val="00DC0B7F"/>
    <w:rsid w:val="00DC6BCD"/>
    <w:rsid w:val="00DD1C76"/>
    <w:rsid w:val="00DF12CF"/>
    <w:rsid w:val="00DF1CD8"/>
    <w:rsid w:val="00DF4A84"/>
    <w:rsid w:val="00E07401"/>
    <w:rsid w:val="00E15B13"/>
    <w:rsid w:val="00E2469E"/>
    <w:rsid w:val="00E271BE"/>
    <w:rsid w:val="00E27698"/>
    <w:rsid w:val="00E324E2"/>
    <w:rsid w:val="00E404E4"/>
    <w:rsid w:val="00E45303"/>
    <w:rsid w:val="00E45ECB"/>
    <w:rsid w:val="00E50D59"/>
    <w:rsid w:val="00E51E93"/>
    <w:rsid w:val="00E55A6E"/>
    <w:rsid w:val="00E81B4B"/>
    <w:rsid w:val="00E837FA"/>
    <w:rsid w:val="00E83B3B"/>
    <w:rsid w:val="00E90EA6"/>
    <w:rsid w:val="00EA1F1C"/>
    <w:rsid w:val="00EC2C54"/>
    <w:rsid w:val="00EC59BF"/>
    <w:rsid w:val="00EC7FCA"/>
    <w:rsid w:val="00ED40F4"/>
    <w:rsid w:val="00ED7A7B"/>
    <w:rsid w:val="00F01BBA"/>
    <w:rsid w:val="00F064CC"/>
    <w:rsid w:val="00F111FD"/>
    <w:rsid w:val="00F11772"/>
    <w:rsid w:val="00F14201"/>
    <w:rsid w:val="00F43012"/>
    <w:rsid w:val="00F43E46"/>
    <w:rsid w:val="00F546F4"/>
    <w:rsid w:val="00F55A5B"/>
    <w:rsid w:val="00F56304"/>
    <w:rsid w:val="00F65192"/>
    <w:rsid w:val="00F67E6A"/>
    <w:rsid w:val="00F7346B"/>
    <w:rsid w:val="00F966E0"/>
    <w:rsid w:val="00F97A4A"/>
    <w:rsid w:val="00FA7FB6"/>
    <w:rsid w:val="00FC7800"/>
    <w:rsid w:val="00FC7CA7"/>
    <w:rsid w:val="00FF4C1F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0720D69"/>
  <w15:docId w15:val="{3DA733F7-F51D-4AC5-8306-590CCEAA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E51E93"/>
    <w:pPr>
      <w:spacing w:after="120" w:line="264" w:lineRule="auto"/>
      <w:jc w:val="both"/>
    </w:pPr>
    <w:rPr>
      <w:rFonts w:ascii="Calibri" w:hAnsi="Calibri"/>
    </w:rPr>
  </w:style>
  <w:style w:type="paragraph" w:styleId="Titre1">
    <w:name w:val="heading 1"/>
    <w:basedOn w:val="Normal"/>
    <w:next w:val="Normal"/>
    <w:link w:val="Titre1Car"/>
    <w:uiPriority w:val="1"/>
    <w:qFormat/>
    <w:rsid w:val="002972CB"/>
    <w:pPr>
      <w:keepNext/>
      <w:keepLines/>
      <w:spacing w:before="240"/>
      <w:outlineLvl w:val="0"/>
    </w:pPr>
    <w:rPr>
      <w:rFonts w:eastAsiaTheme="majorEastAsia" w:cstheme="majorBidi"/>
      <w:b/>
      <w:bCs/>
      <w:caps/>
      <w:szCs w:val="28"/>
    </w:rPr>
  </w:style>
  <w:style w:type="paragraph" w:styleId="Titre2">
    <w:name w:val="heading 2"/>
    <w:basedOn w:val="Normal"/>
    <w:next w:val="Normal"/>
    <w:link w:val="Titre2Car"/>
    <w:uiPriority w:val="1"/>
    <w:unhideWhenUsed/>
    <w:qFormat/>
    <w:rsid w:val="002972CB"/>
    <w:pPr>
      <w:keepNext/>
      <w:keepLines/>
      <w:spacing w:before="240" w:after="0"/>
      <w:outlineLvl w:val="1"/>
    </w:pPr>
    <w:rPr>
      <w:rFonts w:eastAsiaTheme="majorEastAsia" w:cstheme="majorBidi"/>
      <w:b/>
      <w:bCs/>
      <w:szCs w:val="26"/>
    </w:rPr>
  </w:style>
  <w:style w:type="paragraph" w:styleId="Titre3">
    <w:name w:val="heading 3"/>
    <w:basedOn w:val="Normal"/>
    <w:next w:val="Normal"/>
    <w:link w:val="Titre3Car"/>
    <w:uiPriority w:val="1"/>
    <w:unhideWhenUsed/>
    <w:qFormat/>
    <w:rsid w:val="002972CB"/>
    <w:pPr>
      <w:keepNext/>
      <w:keepLines/>
      <w:outlineLvl w:val="2"/>
    </w:pPr>
    <w:rPr>
      <w:rFonts w:eastAsiaTheme="majorEastAsia" w:cstheme="majorBidi"/>
      <w:b/>
      <w:bCs/>
      <w:color w:val="008D7F"/>
    </w:rPr>
  </w:style>
  <w:style w:type="paragraph" w:styleId="Titre4">
    <w:name w:val="heading 4"/>
    <w:basedOn w:val="Normal"/>
    <w:next w:val="Normal"/>
    <w:link w:val="Titre4Car"/>
    <w:uiPriority w:val="19"/>
    <w:semiHidden/>
    <w:unhideWhenUsed/>
    <w:qFormat/>
    <w:rsid w:val="002972CB"/>
    <w:pPr>
      <w:keepNext/>
      <w:keepLines/>
      <w:spacing w:before="240"/>
      <w:outlineLvl w:val="3"/>
    </w:pPr>
    <w:rPr>
      <w:rFonts w:eastAsiaTheme="majorEastAsia" w:cstheme="majorBidi"/>
      <w:b/>
      <w:bCs/>
      <w:iCs/>
      <w:color w:val="41B6E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cMainTitle">
    <w:name w:val="DocMainTitle"/>
    <w:basedOn w:val="Normal"/>
    <w:next w:val="Normal"/>
    <w:uiPriority w:val="5"/>
    <w:qFormat/>
    <w:rsid w:val="002972CB"/>
    <w:pPr>
      <w:spacing w:after="360" w:line="440" w:lineRule="atLeast"/>
    </w:pPr>
    <w:rPr>
      <w:b/>
      <w:caps/>
      <w:sz w:val="36"/>
    </w:rPr>
  </w:style>
  <w:style w:type="character" w:customStyle="1" w:styleId="Titre1Car">
    <w:name w:val="Titre 1 Car"/>
    <w:basedOn w:val="Policepardfaut"/>
    <w:link w:val="Titre1"/>
    <w:uiPriority w:val="1"/>
    <w:rsid w:val="002972CB"/>
    <w:rPr>
      <w:rFonts w:ascii="Calibri" w:eastAsiaTheme="majorEastAsia" w:hAnsi="Calibri" w:cstheme="majorBidi"/>
      <w:b/>
      <w:bCs/>
      <w:caps/>
      <w:szCs w:val="28"/>
    </w:rPr>
  </w:style>
  <w:style w:type="character" w:customStyle="1" w:styleId="Titre2Car">
    <w:name w:val="Titre 2 Car"/>
    <w:basedOn w:val="Policepardfaut"/>
    <w:link w:val="Titre2"/>
    <w:uiPriority w:val="1"/>
    <w:rsid w:val="002972CB"/>
    <w:rPr>
      <w:rFonts w:ascii="Calibri" w:eastAsiaTheme="majorEastAsia" w:hAnsi="Calibri" w:cstheme="majorBidi"/>
      <w:b/>
      <w:bCs/>
      <w:szCs w:val="26"/>
    </w:rPr>
  </w:style>
  <w:style w:type="paragraph" w:styleId="En-tte">
    <w:name w:val="header"/>
    <w:basedOn w:val="Normal"/>
    <w:link w:val="En-tteCar"/>
    <w:uiPriority w:val="99"/>
    <w:unhideWhenUsed/>
    <w:rsid w:val="002972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72CB"/>
    <w:rPr>
      <w:rFonts w:ascii="Calibri" w:hAnsi="Calibri"/>
    </w:rPr>
  </w:style>
  <w:style w:type="paragraph" w:styleId="Pieddepage">
    <w:name w:val="footer"/>
    <w:basedOn w:val="Normal"/>
    <w:link w:val="PieddepageCar"/>
    <w:uiPriority w:val="99"/>
    <w:unhideWhenUsed/>
    <w:rsid w:val="002972CB"/>
    <w:pPr>
      <w:tabs>
        <w:tab w:val="right" w:pos="9639"/>
      </w:tabs>
      <w:spacing w:before="240" w:after="0" w:line="240" w:lineRule="auto"/>
    </w:pPr>
    <w:rPr>
      <w:b/>
    </w:rPr>
  </w:style>
  <w:style w:type="character" w:customStyle="1" w:styleId="PieddepageCar">
    <w:name w:val="Pied de page Car"/>
    <w:basedOn w:val="Policepardfaut"/>
    <w:link w:val="Pieddepage"/>
    <w:uiPriority w:val="99"/>
    <w:rsid w:val="002972CB"/>
    <w:rPr>
      <w:rFonts w:ascii="Calibri" w:hAnsi="Calibri"/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7636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Normal"/>
    <w:uiPriority w:val="4"/>
    <w:qFormat/>
    <w:rsid w:val="002972CB"/>
    <w:pPr>
      <w:numPr>
        <w:numId w:val="2"/>
      </w:numPr>
      <w:contextualSpacing/>
    </w:pPr>
  </w:style>
  <w:style w:type="paragraph" w:customStyle="1" w:styleId="Bullet2">
    <w:name w:val="Bullet2"/>
    <w:basedOn w:val="Normal"/>
    <w:uiPriority w:val="4"/>
    <w:qFormat/>
    <w:rsid w:val="002972CB"/>
    <w:pPr>
      <w:numPr>
        <w:ilvl w:val="1"/>
        <w:numId w:val="2"/>
      </w:numPr>
      <w:contextualSpacing/>
    </w:pPr>
  </w:style>
  <w:style w:type="character" w:customStyle="1" w:styleId="Titre3Car">
    <w:name w:val="Titre 3 Car"/>
    <w:basedOn w:val="Policepardfaut"/>
    <w:link w:val="Titre3"/>
    <w:uiPriority w:val="1"/>
    <w:rsid w:val="002972CB"/>
    <w:rPr>
      <w:rFonts w:ascii="Calibri" w:eastAsiaTheme="majorEastAsia" w:hAnsi="Calibri" w:cstheme="majorBidi"/>
      <w:b/>
      <w:bCs/>
      <w:color w:val="008D7F"/>
    </w:rPr>
  </w:style>
  <w:style w:type="paragraph" w:customStyle="1" w:styleId="FooterRegInfo">
    <w:name w:val="Footer RegInfo"/>
    <w:basedOn w:val="Pieddepage"/>
    <w:uiPriority w:val="19"/>
    <w:semiHidden/>
    <w:qFormat/>
    <w:rsid w:val="002972CB"/>
    <w:pPr>
      <w:spacing w:before="80"/>
    </w:pPr>
    <w:rPr>
      <w:b w:val="0"/>
      <w:sz w:val="16"/>
    </w:rPr>
  </w:style>
  <w:style w:type="table" w:styleId="Grilledutableau">
    <w:name w:val="Table Grid"/>
    <w:basedOn w:val="TableauNormal"/>
    <w:uiPriority w:val="59"/>
    <w:rsid w:val="00DD1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LstBullet">
    <w:name w:val="NumbLstBullet"/>
    <w:uiPriority w:val="99"/>
    <w:rsid w:val="002972CB"/>
    <w:pPr>
      <w:numPr>
        <w:numId w:val="2"/>
      </w:numPr>
    </w:pPr>
  </w:style>
  <w:style w:type="paragraph" w:customStyle="1" w:styleId="NumbList1">
    <w:name w:val="NumbList1"/>
    <w:basedOn w:val="Normal"/>
    <w:next w:val="NumbList2"/>
    <w:uiPriority w:val="3"/>
    <w:qFormat/>
    <w:rsid w:val="00A648BC"/>
    <w:pPr>
      <w:keepNext/>
      <w:numPr>
        <w:numId w:val="33"/>
      </w:numPr>
    </w:pPr>
    <w:rPr>
      <w:b/>
    </w:rPr>
  </w:style>
  <w:style w:type="paragraph" w:customStyle="1" w:styleId="NumbList2">
    <w:name w:val="NumbList2"/>
    <w:basedOn w:val="Normal"/>
    <w:uiPriority w:val="3"/>
    <w:qFormat/>
    <w:rsid w:val="00A648BC"/>
    <w:pPr>
      <w:numPr>
        <w:ilvl w:val="1"/>
        <w:numId w:val="33"/>
      </w:numPr>
    </w:pPr>
  </w:style>
  <w:style w:type="numbering" w:customStyle="1" w:styleId="NumbLstNumb">
    <w:name w:val="NumbLstNumb"/>
    <w:uiPriority w:val="99"/>
    <w:rsid w:val="00A648BC"/>
    <w:pPr>
      <w:numPr>
        <w:numId w:val="13"/>
      </w:numPr>
    </w:pPr>
  </w:style>
  <w:style w:type="character" w:customStyle="1" w:styleId="Titre4Car">
    <w:name w:val="Titre 4 Car"/>
    <w:basedOn w:val="Policepardfaut"/>
    <w:link w:val="Titre4"/>
    <w:uiPriority w:val="19"/>
    <w:semiHidden/>
    <w:rsid w:val="002972CB"/>
    <w:rPr>
      <w:rFonts w:ascii="Calibri" w:eastAsiaTheme="majorEastAsia" w:hAnsi="Calibri" w:cstheme="majorBidi"/>
      <w:b/>
      <w:bCs/>
      <w:iCs/>
      <w:color w:val="41B6E6"/>
    </w:rPr>
  </w:style>
  <w:style w:type="paragraph" w:customStyle="1" w:styleId="TableInfo">
    <w:name w:val="TableInfo"/>
    <w:basedOn w:val="Normal"/>
    <w:uiPriority w:val="5"/>
    <w:qFormat/>
    <w:rsid w:val="002972CB"/>
    <w:rPr>
      <w:color w:val="008D7F"/>
    </w:rPr>
  </w:style>
  <w:style w:type="paragraph" w:customStyle="1" w:styleId="NumbList3">
    <w:name w:val="NumbList3"/>
    <w:basedOn w:val="Normal"/>
    <w:uiPriority w:val="3"/>
    <w:qFormat/>
    <w:rsid w:val="00A648BC"/>
    <w:pPr>
      <w:numPr>
        <w:ilvl w:val="2"/>
        <w:numId w:val="33"/>
      </w:numPr>
    </w:pPr>
  </w:style>
  <w:style w:type="paragraph" w:customStyle="1" w:styleId="NumbList4">
    <w:name w:val="NumbList4"/>
    <w:basedOn w:val="Normal"/>
    <w:uiPriority w:val="3"/>
    <w:qFormat/>
    <w:rsid w:val="00A648BC"/>
    <w:pPr>
      <w:numPr>
        <w:ilvl w:val="3"/>
        <w:numId w:val="33"/>
      </w:numPr>
      <w:contextualSpacing/>
    </w:pPr>
  </w:style>
  <w:style w:type="paragraph" w:customStyle="1" w:styleId="NumbList5">
    <w:name w:val="NumbList5"/>
    <w:basedOn w:val="Normal"/>
    <w:uiPriority w:val="3"/>
    <w:qFormat/>
    <w:rsid w:val="00A648BC"/>
    <w:pPr>
      <w:numPr>
        <w:ilvl w:val="4"/>
        <w:numId w:val="33"/>
      </w:numPr>
    </w:pPr>
  </w:style>
  <w:style w:type="paragraph" w:customStyle="1" w:styleId="Default">
    <w:name w:val="Default"/>
    <w:rsid w:val="00B40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vent">
    <w:name w:val="Event"/>
    <w:basedOn w:val="Normal"/>
    <w:uiPriority w:val="1"/>
    <w:qFormat/>
    <w:rsid w:val="00A648BC"/>
    <w:pPr>
      <w:numPr>
        <w:ilvl w:val="6"/>
        <w:numId w:val="33"/>
      </w:numPr>
      <w:tabs>
        <w:tab w:val="left" w:pos="1559"/>
      </w:tabs>
      <w:contextualSpacing/>
    </w:pPr>
  </w:style>
  <w:style w:type="character" w:styleId="Lienhypertexte">
    <w:name w:val="Hyperlink"/>
    <w:basedOn w:val="Policepardfaut"/>
    <w:uiPriority w:val="99"/>
    <w:unhideWhenUsed/>
    <w:rsid w:val="004427EC"/>
    <w:rPr>
      <w:color w:val="008D7F" w:themeColor="hyperlink"/>
      <w:u w:val="single"/>
    </w:rPr>
  </w:style>
  <w:style w:type="paragraph" w:styleId="Sansinterligne">
    <w:name w:val="No Spacing"/>
    <w:uiPriority w:val="4"/>
    <w:qFormat/>
    <w:rsid w:val="004427EC"/>
    <w:pPr>
      <w:spacing w:after="0" w:line="240" w:lineRule="auto"/>
      <w:jc w:val="both"/>
    </w:pPr>
    <w:rPr>
      <w:rFonts w:ascii="Calibri" w:hAnsi="Calibri"/>
    </w:rPr>
  </w:style>
  <w:style w:type="paragraph" w:customStyle="1" w:styleId="TableText">
    <w:name w:val="TableText"/>
    <w:basedOn w:val="Normal"/>
    <w:uiPriority w:val="7"/>
    <w:qFormat/>
    <w:rsid w:val="00BF5353"/>
    <w:pPr>
      <w:spacing w:after="0"/>
      <w:jc w:val="left"/>
    </w:pPr>
  </w:style>
  <w:style w:type="paragraph" w:customStyle="1" w:styleId="TableHeader">
    <w:name w:val="TableHeader"/>
    <w:basedOn w:val="TableInfo"/>
    <w:uiPriority w:val="7"/>
    <w:qFormat/>
    <w:rsid w:val="00BF5353"/>
    <w:pPr>
      <w:spacing w:after="0"/>
      <w:jc w:val="left"/>
    </w:pPr>
    <w:rPr>
      <w:b/>
      <w:caps/>
    </w:rPr>
  </w:style>
  <w:style w:type="paragraph" w:styleId="Paragraphedeliste">
    <w:name w:val="List Paragraph"/>
    <w:basedOn w:val="Normal"/>
    <w:uiPriority w:val="34"/>
    <w:qFormat/>
    <w:rsid w:val="0057117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873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73B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73BB"/>
    <w:rPr>
      <w:rFonts w:ascii="Calibri" w:hAnsi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73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73BB"/>
    <w:rPr>
      <w:rFonts w:ascii="Calibri" w:hAnsi="Calibri"/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7A13B9"/>
    <w:rPr>
      <w:color w:val="0092DC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03BF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0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nnect2.euronext.com/sites/default/files/it-documentation/Euronext%20Optiq%20Market%20Data%20Gateway%20Production%20Environment%20v2.3.pdf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euronext.com/sites/www.euronext.com/files/euronext_file_services_user_guide_v1.2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clientsupport@euronext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lientsupport@euronext.com?subject=Euronext%20DR%20(11/07/2020):%20Test%20Results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lientsupport@euronext.com" TargetMode="External"/><Relationship Id="rId10" Type="http://schemas.openxmlformats.org/officeDocument/2006/relationships/hyperlink" Target="http://www.euronext.com/market-status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connect2.euronext.com/en/form/euronext-disaster-recovery-test" TargetMode="External"/><Relationship Id="rId14" Type="http://schemas.openxmlformats.org/officeDocument/2006/relationships/hyperlink" Target="https://connect2.euronext.com/sites/default/files/it-documentation/Euronext%20Markets%20%E2%80%93%20OPTIQ%C2%AE%20OEG%20Connectivity%20Specifications-2.2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next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Alp\AppData\Roaming\Microsoft\Templates\EU%20Markets\LiffeNotice_Lon_120514.dotx" TargetMode="External"/></Relationships>
</file>

<file path=word/theme/theme1.xml><?xml version="1.0" encoding="utf-8"?>
<a:theme xmlns:a="http://schemas.openxmlformats.org/drawingml/2006/main" name="NYX_theme">
  <a:themeElements>
    <a:clrScheme name="NYX">
      <a:dk1>
        <a:srgbClr val="008D7F"/>
      </a:dk1>
      <a:lt1>
        <a:srgbClr val="FFFFFF"/>
      </a:lt1>
      <a:dk2>
        <a:srgbClr val="000000"/>
      </a:dk2>
      <a:lt2>
        <a:srgbClr val="EAEAEA"/>
      </a:lt2>
      <a:accent1>
        <a:srgbClr val="41B6E6"/>
      </a:accent1>
      <a:accent2>
        <a:srgbClr val="00685E"/>
      </a:accent2>
      <a:accent3>
        <a:srgbClr val="009639"/>
      </a:accent3>
      <a:accent4>
        <a:srgbClr val="79D100"/>
      </a:accent4>
      <a:accent5>
        <a:srgbClr val="7F7F7F"/>
      </a:accent5>
      <a:accent6>
        <a:srgbClr val="505050"/>
      </a:accent6>
      <a:hlink>
        <a:srgbClr val="008D7F"/>
      </a:hlink>
      <a:folHlink>
        <a:srgbClr val="0092DC"/>
      </a:folHlink>
    </a:clrScheme>
    <a:fontScheme name="NYSE_Euronext_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 cmpd="sng">
          <a:solidFill>
            <a:schemeClr val="tx2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spcAft>
            <a:spcPts val="1000"/>
          </a:spcAft>
          <a:buClr>
            <a:srgbClr val="79D100"/>
          </a:buClr>
          <a:defRPr dirty="0" smtClean="0">
            <a:solidFill>
              <a:srgbClr val="000000"/>
            </a:solidFill>
            <a:latin typeface="Calibri" pitchFamily="34" charset="0"/>
            <a:cs typeface="Calibri" pitchFamily="34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04ce55e-d47d-4e22-b0f7-c3e46cb4e632" origin="defaultValu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983DE-AAD6-486C-B21E-5617D7EDF3A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82797DE-402C-4EE0-A0D0-217DB81B5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LiffeNotice_Lon_120514.dotx</Template>
  <TotalTime>0</TotalTime>
  <Pages>5</Pages>
  <Words>1392</Words>
  <Characters>7660</Characters>
  <Application>Microsoft Office Word</Application>
  <DocSecurity>0</DocSecurity>
  <Lines>63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NYSE Euronext</Company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oalp</dc:creator>
  <cp:lastModifiedBy>Daniel Cousin</cp:lastModifiedBy>
  <cp:revision>2</cp:revision>
  <cp:lastPrinted>2016-11-25T10:03:00Z</cp:lastPrinted>
  <dcterms:created xsi:type="dcterms:W3CDTF">2020-08-10T07:57:00Z</dcterms:created>
  <dcterms:modified xsi:type="dcterms:W3CDTF">2020-08-10T07:57:00Z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dc9706cf-e967-4e07-825f-af3382de8bdd</vt:lpwstr>
  </property>
  <property fmtid="{D5CDD505-2E9C-101B-9397-08002B2CF9AE}" pid="3" name="bjSaver">
    <vt:lpwstr>5dHJlasKxsPyZoKJPIqcwH1Ctmh6GsjT</vt:lpwstr>
  </property>
  <property fmtid="{D5CDD505-2E9C-101B-9397-08002B2CF9AE}" pid="4" name="bjDocumentSecurityLabel">
    <vt:lpwstr>This item has no classification</vt:lpwstr>
  </property>
</Properties>
</file>